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E4" w:rsidRPr="00410DE4" w:rsidRDefault="00410DE4" w:rsidP="00410DE4">
      <w:pPr>
        <w:rPr>
          <w:i/>
          <w:sz w:val="18"/>
          <w:szCs w:val="18"/>
        </w:rPr>
      </w:pPr>
    </w:p>
    <w:p w:rsidR="00410DE4" w:rsidRPr="00410DE4" w:rsidRDefault="00410DE4" w:rsidP="00221845">
      <w:pPr>
        <w:jc w:val="center"/>
        <w:rPr>
          <w:i/>
        </w:rPr>
      </w:pPr>
      <w:bookmarkStart w:id="0" w:name="OLE_LINK1"/>
      <w:bookmarkStart w:id="1" w:name="OLE_LINK2"/>
      <w:r w:rsidRPr="00410DE4">
        <w:rPr>
          <w:i/>
        </w:rPr>
        <w:t>A brief overview of the</w:t>
      </w:r>
    </w:p>
    <w:p w:rsidR="00221845" w:rsidRPr="000E17C3" w:rsidRDefault="000E17C3" w:rsidP="00221845">
      <w:pPr>
        <w:jc w:val="center"/>
        <w:rPr>
          <w:b/>
          <w:i/>
          <w:sz w:val="28"/>
          <w:szCs w:val="28"/>
        </w:rPr>
      </w:pPr>
      <w:r w:rsidRPr="000E17C3">
        <w:rPr>
          <w:b/>
          <w:i/>
          <w:sz w:val="28"/>
          <w:szCs w:val="28"/>
        </w:rPr>
        <w:t>Tax Cuts and Jobs Act of 2017</w:t>
      </w:r>
    </w:p>
    <w:p w:rsidR="00BA2B5E" w:rsidRDefault="000E17C3" w:rsidP="00F435AF">
      <w:pPr>
        <w:jc w:val="center"/>
        <w:rPr>
          <w:b/>
          <w:i/>
          <w:sz w:val="16"/>
          <w:szCs w:val="16"/>
        </w:rPr>
      </w:pPr>
      <w:r w:rsidRPr="00A35A66">
        <w:rPr>
          <w:b/>
          <w:i/>
        </w:rPr>
        <w:t>The changes that matter most!</w:t>
      </w:r>
    </w:p>
    <w:p w:rsidR="00BA2B5E" w:rsidRDefault="0080123C" w:rsidP="00F435AF">
      <w:pPr>
        <w:jc w:val="right"/>
        <w:rPr>
          <w:sz w:val="16"/>
          <w:szCs w:val="16"/>
        </w:rPr>
      </w:pPr>
      <w:r>
        <w:rPr>
          <w:b/>
          <w:i/>
          <w:sz w:val="16"/>
          <w:szCs w:val="16"/>
        </w:rPr>
        <w:t>01-</w:t>
      </w:r>
      <w:r w:rsidR="000008DF">
        <w:rPr>
          <w:b/>
          <w:i/>
          <w:sz w:val="16"/>
          <w:szCs w:val="16"/>
        </w:rPr>
        <w:t>2</w:t>
      </w:r>
      <w:r w:rsidR="003C2FA6">
        <w:rPr>
          <w:b/>
          <w:i/>
          <w:sz w:val="16"/>
          <w:szCs w:val="16"/>
        </w:rPr>
        <w:t>9</w:t>
      </w:r>
      <w:r w:rsidR="000008DF">
        <w:rPr>
          <w:b/>
          <w:i/>
          <w:sz w:val="16"/>
          <w:szCs w:val="16"/>
        </w:rPr>
        <w:t>-2018 - 6</w:t>
      </w:r>
      <w:r w:rsidR="003C2FA6">
        <w:rPr>
          <w:b/>
          <w:i/>
          <w:sz w:val="16"/>
          <w:szCs w:val="16"/>
        </w:rPr>
        <w:t>.3</w:t>
      </w:r>
    </w:p>
    <w:p w:rsidR="00BA2B5E" w:rsidRDefault="00BA2B5E" w:rsidP="00BA2B5E">
      <w:pPr>
        <w:rPr>
          <w:sz w:val="16"/>
          <w:szCs w:val="16"/>
        </w:rPr>
      </w:pPr>
    </w:p>
    <w:p w:rsidR="00BA2B5E" w:rsidRPr="00BA2B5E" w:rsidRDefault="00BA2B5E" w:rsidP="00BA2B5E">
      <w:pPr>
        <w:rPr>
          <w:sz w:val="20"/>
          <w:szCs w:val="20"/>
        </w:rPr>
      </w:pPr>
      <w:r w:rsidRPr="00BA2B5E">
        <w:tab/>
        <w:t>The Act is the most significant tax law change since 1986.  The information included will address the questions most often received from clients.  There are many other provisions under the law.  Please call with inquiries not addressed here.</w:t>
      </w:r>
    </w:p>
    <w:p w:rsidR="00BA2B5E" w:rsidRPr="007E1B54" w:rsidRDefault="00BA2B5E" w:rsidP="00BA2B5E">
      <w:pPr>
        <w:jc w:val="right"/>
        <w:rPr>
          <w:b/>
          <w:i/>
          <w:sz w:val="18"/>
          <w:szCs w:val="18"/>
        </w:rPr>
      </w:pPr>
    </w:p>
    <w:p w:rsidR="00BA2B5E" w:rsidRPr="007E1B54" w:rsidRDefault="00BA2B5E" w:rsidP="00BA2B5E">
      <w:pPr>
        <w:autoSpaceDE w:val="0"/>
        <w:autoSpaceDN w:val="0"/>
        <w:adjustRightInd w:val="0"/>
        <w:rPr>
          <w:rFonts w:asciiTheme="majorHAnsi" w:hAnsiTheme="majorHAnsi" w:cstheme="majorHAnsi"/>
          <w:i/>
          <w:sz w:val="18"/>
          <w:szCs w:val="18"/>
        </w:rPr>
      </w:pPr>
      <w:r w:rsidRPr="007E1B54">
        <w:rPr>
          <w:rFonts w:asciiTheme="majorHAnsi" w:hAnsiTheme="majorHAnsi" w:cstheme="majorHAnsi"/>
          <w:b/>
          <w:i/>
          <w:sz w:val="18"/>
          <w:szCs w:val="18"/>
        </w:rPr>
        <w:t>Important note:</w:t>
      </w:r>
      <w:r w:rsidRPr="007E1B54">
        <w:rPr>
          <w:rFonts w:asciiTheme="majorHAnsi" w:hAnsiTheme="majorHAnsi" w:cstheme="majorHAnsi"/>
          <w:i/>
          <w:sz w:val="18"/>
          <w:szCs w:val="18"/>
        </w:rPr>
        <w:t xml:space="preserve">  ---, its agents and representatives may not give legal or tax advice. Any discussion of taxes herein or related to this document is for general information purposes only and does not purport to be complete or cover every situation. Tax law is subject to interpretation and legislative change. Tax results and the appropriateness of any product for any specific taxpayer may vary depending on the facts and circumstances. Clients should consult with and rely on their own independent legal and tax advisors regarding their particular set of facts and circumstances. </w:t>
      </w:r>
    </w:p>
    <w:p w:rsidR="00BA2B5E" w:rsidRPr="00BA2B5E" w:rsidRDefault="00BA2B5E" w:rsidP="00BA2B5E">
      <w:pPr>
        <w:rPr>
          <w:b/>
          <w:i/>
          <w:sz w:val="16"/>
          <w:szCs w:val="16"/>
        </w:rPr>
      </w:pPr>
    </w:p>
    <w:tbl>
      <w:tblPr>
        <w:tblStyle w:val="TableGrid"/>
        <w:tblW w:w="0" w:type="auto"/>
        <w:tblLook w:val="04A0" w:firstRow="1" w:lastRow="0" w:firstColumn="1" w:lastColumn="0" w:noHBand="0" w:noVBand="1"/>
      </w:tblPr>
      <w:tblGrid>
        <w:gridCol w:w="2965"/>
        <w:gridCol w:w="5712"/>
        <w:gridCol w:w="5713"/>
      </w:tblGrid>
      <w:tr w:rsidR="00221845" w:rsidRPr="00221845" w:rsidTr="00704FE8">
        <w:trPr>
          <w:trHeight w:val="395"/>
        </w:trPr>
        <w:tc>
          <w:tcPr>
            <w:tcW w:w="2965" w:type="dxa"/>
          </w:tcPr>
          <w:p w:rsidR="00221845" w:rsidRPr="007E1B54" w:rsidRDefault="00221845" w:rsidP="00221845">
            <w:pPr>
              <w:jc w:val="center"/>
              <w:rPr>
                <w:b/>
                <w:i/>
              </w:rPr>
            </w:pPr>
            <w:r w:rsidRPr="007E1B54">
              <w:rPr>
                <w:b/>
                <w:i/>
              </w:rPr>
              <w:t>Tax Item</w:t>
            </w:r>
          </w:p>
        </w:tc>
        <w:tc>
          <w:tcPr>
            <w:tcW w:w="5712" w:type="dxa"/>
          </w:tcPr>
          <w:p w:rsidR="00221845" w:rsidRPr="007E1B54" w:rsidRDefault="00221845" w:rsidP="00221845">
            <w:pPr>
              <w:jc w:val="center"/>
              <w:rPr>
                <w:b/>
                <w:i/>
              </w:rPr>
            </w:pPr>
            <w:r w:rsidRPr="007E1B54">
              <w:rPr>
                <w:b/>
                <w:i/>
              </w:rPr>
              <w:t>2017 Law</w:t>
            </w:r>
          </w:p>
        </w:tc>
        <w:tc>
          <w:tcPr>
            <w:tcW w:w="5713" w:type="dxa"/>
          </w:tcPr>
          <w:p w:rsidR="00221845" w:rsidRPr="007E1B54" w:rsidRDefault="00221845" w:rsidP="00221845">
            <w:pPr>
              <w:jc w:val="center"/>
              <w:rPr>
                <w:b/>
                <w:i/>
              </w:rPr>
            </w:pPr>
            <w:r w:rsidRPr="007E1B54">
              <w:rPr>
                <w:b/>
                <w:i/>
              </w:rPr>
              <w:t>2018 Law</w:t>
            </w:r>
          </w:p>
        </w:tc>
      </w:tr>
      <w:tr w:rsidR="000E17C3" w:rsidTr="00B90F5F">
        <w:tc>
          <w:tcPr>
            <w:tcW w:w="14390" w:type="dxa"/>
            <w:gridSpan w:val="3"/>
          </w:tcPr>
          <w:p w:rsidR="000E17C3" w:rsidRDefault="000E17C3" w:rsidP="000E17C3">
            <w:pPr>
              <w:jc w:val="center"/>
              <w:rPr>
                <w:b/>
                <w:i/>
              </w:rPr>
            </w:pPr>
            <w:r w:rsidRPr="000E17C3">
              <w:rPr>
                <w:b/>
                <w:i/>
              </w:rPr>
              <w:t>Personal Income Tax</w:t>
            </w:r>
          </w:p>
          <w:p w:rsidR="00A803E3" w:rsidRPr="000E17C3" w:rsidRDefault="00A803E3" w:rsidP="000E17C3">
            <w:pPr>
              <w:jc w:val="center"/>
              <w:rPr>
                <w:b/>
                <w:i/>
              </w:rPr>
            </w:pPr>
          </w:p>
        </w:tc>
      </w:tr>
      <w:tr w:rsidR="008953F9" w:rsidTr="00704FE8">
        <w:tc>
          <w:tcPr>
            <w:tcW w:w="2965" w:type="dxa"/>
          </w:tcPr>
          <w:p w:rsidR="008953F9" w:rsidRPr="002F6D6F" w:rsidRDefault="008953F9">
            <w:pPr>
              <w:rPr>
                <w:b/>
                <w:i/>
                <w:sz w:val="20"/>
                <w:szCs w:val="20"/>
              </w:rPr>
            </w:pPr>
            <w:r w:rsidRPr="002F6D6F">
              <w:rPr>
                <w:b/>
                <w:i/>
                <w:sz w:val="20"/>
                <w:szCs w:val="20"/>
              </w:rPr>
              <w:t>Tax brackets</w:t>
            </w:r>
          </w:p>
          <w:p w:rsidR="00003AAC" w:rsidRDefault="00003AAC">
            <w:pPr>
              <w:rPr>
                <w:sz w:val="20"/>
                <w:szCs w:val="20"/>
              </w:rPr>
            </w:pPr>
            <w:r>
              <w:rPr>
                <w:sz w:val="20"/>
                <w:szCs w:val="20"/>
              </w:rPr>
              <w:t xml:space="preserve">  </w:t>
            </w:r>
          </w:p>
          <w:p w:rsidR="00003AAC" w:rsidRDefault="00003AAC">
            <w:pPr>
              <w:rPr>
                <w:sz w:val="20"/>
                <w:szCs w:val="20"/>
              </w:rPr>
            </w:pPr>
            <w:r>
              <w:rPr>
                <w:sz w:val="20"/>
                <w:szCs w:val="20"/>
              </w:rPr>
              <w:t xml:space="preserve">  </w:t>
            </w:r>
          </w:p>
          <w:p w:rsidR="00003AAC" w:rsidRDefault="00003AAC">
            <w:pPr>
              <w:rPr>
                <w:sz w:val="20"/>
                <w:szCs w:val="20"/>
              </w:rPr>
            </w:pPr>
          </w:p>
          <w:p w:rsidR="00003AAC" w:rsidRPr="00003AAC" w:rsidRDefault="00003AAC">
            <w:pPr>
              <w:rPr>
                <w:sz w:val="20"/>
                <w:szCs w:val="20"/>
              </w:rPr>
            </w:pPr>
          </w:p>
        </w:tc>
        <w:tc>
          <w:tcPr>
            <w:tcW w:w="5712" w:type="dxa"/>
          </w:tcPr>
          <w:p w:rsidR="008953F9" w:rsidRPr="002F6D6F" w:rsidRDefault="00300D20">
            <w:pPr>
              <w:rPr>
                <w:sz w:val="20"/>
                <w:szCs w:val="20"/>
              </w:rPr>
            </w:pPr>
            <w:r>
              <w:rPr>
                <w:sz w:val="20"/>
                <w:szCs w:val="20"/>
              </w:rPr>
              <w:t>Seven graduated brackets increasing the tax as taxable income increases – minimum 10%, maximum 39.6%</w:t>
            </w:r>
            <w:r w:rsidR="007764E2">
              <w:rPr>
                <w:sz w:val="20"/>
                <w:szCs w:val="20"/>
              </w:rPr>
              <w:t>.</w:t>
            </w:r>
          </w:p>
          <w:p w:rsidR="002F6D6F" w:rsidRDefault="002F6D6F">
            <w:pPr>
              <w:rPr>
                <w:sz w:val="20"/>
                <w:szCs w:val="20"/>
              </w:rPr>
            </w:pPr>
          </w:p>
          <w:p w:rsidR="00A803E3" w:rsidRPr="002F6D6F" w:rsidRDefault="00A803E3">
            <w:pPr>
              <w:rPr>
                <w:sz w:val="20"/>
                <w:szCs w:val="20"/>
              </w:rPr>
            </w:pPr>
          </w:p>
          <w:p w:rsidR="002F6D6F" w:rsidRPr="002F6D6F" w:rsidRDefault="002F6D6F">
            <w:pPr>
              <w:rPr>
                <w:sz w:val="20"/>
                <w:szCs w:val="20"/>
              </w:rPr>
            </w:pPr>
          </w:p>
        </w:tc>
        <w:tc>
          <w:tcPr>
            <w:tcW w:w="5713" w:type="dxa"/>
          </w:tcPr>
          <w:p w:rsidR="00300D20" w:rsidRDefault="00300D20" w:rsidP="00300D20">
            <w:pPr>
              <w:rPr>
                <w:sz w:val="20"/>
                <w:szCs w:val="20"/>
              </w:rPr>
            </w:pPr>
            <w:r>
              <w:rPr>
                <w:sz w:val="20"/>
                <w:szCs w:val="20"/>
              </w:rPr>
              <w:t>The seven brackets are maintained with the rates lowered in some and higher incomes allowed at lower rates in others – minimum 10%, maximum 37%</w:t>
            </w:r>
            <w:r w:rsidR="007764E2">
              <w:rPr>
                <w:sz w:val="20"/>
                <w:szCs w:val="20"/>
              </w:rPr>
              <w:t>.</w:t>
            </w:r>
          </w:p>
          <w:p w:rsidR="00300D20" w:rsidRPr="00F435AF" w:rsidRDefault="00300D20" w:rsidP="00300D20">
            <w:pPr>
              <w:rPr>
                <w:sz w:val="18"/>
                <w:szCs w:val="18"/>
              </w:rPr>
            </w:pPr>
          </w:p>
          <w:p w:rsidR="00300D20" w:rsidRPr="00F435AF" w:rsidRDefault="00300D20" w:rsidP="00300D20">
            <w:pPr>
              <w:rPr>
                <w:sz w:val="18"/>
                <w:szCs w:val="18"/>
              </w:rPr>
            </w:pPr>
            <w:r w:rsidRPr="00F435AF">
              <w:rPr>
                <w:sz w:val="18"/>
                <w:szCs w:val="18"/>
              </w:rPr>
              <w:t>Ex. For</w:t>
            </w:r>
            <w:r w:rsidR="009157E0" w:rsidRPr="00F435AF">
              <w:rPr>
                <w:sz w:val="18"/>
                <w:szCs w:val="18"/>
              </w:rPr>
              <w:t xml:space="preserve"> a</w:t>
            </w:r>
            <w:r w:rsidRPr="00F435AF">
              <w:rPr>
                <w:sz w:val="18"/>
                <w:szCs w:val="18"/>
              </w:rPr>
              <w:t xml:space="preserve"> joint filing with taxable income at the </w:t>
            </w:r>
            <w:r w:rsidRPr="00F435AF">
              <w:rPr>
                <w:i/>
                <w:sz w:val="18"/>
                <w:szCs w:val="18"/>
                <w:u w:val="single"/>
              </w:rPr>
              <w:t>midpoint</w:t>
            </w:r>
            <w:r w:rsidRPr="00F435AF">
              <w:rPr>
                <w:sz w:val="18"/>
                <w:szCs w:val="18"/>
              </w:rPr>
              <w:t xml:space="preserve"> of each new bracket:</w:t>
            </w:r>
          </w:p>
          <w:p w:rsidR="00300D20" w:rsidRPr="00F435AF" w:rsidRDefault="00300D20" w:rsidP="00300D20">
            <w:pPr>
              <w:rPr>
                <w:sz w:val="18"/>
                <w:szCs w:val="18"/>
              </w:rPr>
            </w:pPr>
          </w:p>
          <w:p w:rsidR="008953F9" w:rsidRPr="00F435AF" w:rsidRDefault="009157E0">
            <w:pPr>
              <w:rPr>
                <w:sz w:val="18"/>
                <w:szCs w:val="18"/>
              </w:rPr>
            </w:pPr>
            <w:r w:rsidRPr="00F435AF">
              <w:rPr>
                <w:sz w:val="18"/>
                <w:szCs w:val="18"/>
              </w:rPr>
              <w:t xml:space="preserve">    </w:t>
            </w:r>
            <w:r w:rsidR="00003AAC" w:rsidRPr="00F435AF">
              <w:rPr>
                <w:sz w:val="18"/>
                <w:szCs w:val="18"/>
              </w:rPr>
              <w:t>12%</w:t>
            </w:r>
            <w:r w:rsidR="00D107F2">
              <w:rPr>
                <w:sz w:val="18"/>
                <w:szCs w:val="18"/>
              </w:rPr>
              <w:t xml:space="preserve"> (old 15%)</w:t>
            </w:r>
            <w:r w:rsidR="00003AAC" w:rsidRPr="00F435AF">
              <w:rPr>
                <w:sz w:val="18"/>
                <w:szCs w:val="18"/>
              </w:rPr>
              <w:t xml:space="preserve"> - 48,225 – 875 savings</w:t>
            </w:r>
          </w:p>
          <w:p w:rsidR="00003AAC" w:rsidRPr="00F435AF" w:rsidRDefault="009157E0">
            <w:pPr>
              <w:rPr>
                <w:sz w:val="18"/>
                <w:szCs w:val="18"/>
              </w:rPr>
            </w:pPr>
            <w:r w:rsidRPr="00F435AF">
              <w:rPr>
                <w:sz w:val="18"/>
                <w:szCs w:val="18"/>
              </w:rPr>
              <w:t xml:space="preserve">    </w:t>
            </w:r>
            <w:r w:rsidR="00003AAC" w:rsidRPr="00F435AF">
              <w:rPr>
                <w:sz w:val="18"/>
                <w:szCs w:val="18"/>
              </w:rPr>
              <w:t>22% - 121,200 – 2,874 savings</w:t>
            </w:r>
          </w:p>
          <w:p w:rsidR="00003AAC" w:rsidRPr="00F435AF" w:rsidRDefault="009157E0">
            <w:pPr>
              <w:rPr>
                <w:sz w:val="18"/>
                <w:szCs w:val="18"/>
              </w:rPr>
            </w:pPr>
            <w:r w:rsidRPr="00F435AF">
              <w:rPr>
                <w:sz w:val="18"/>
                <w:szCs w:val="18"/>
              </w:rPr>
              <w:t xml:space="preserve">    2</w:t>
            </w:r>
            <w:r w:rsidR="00003AAC" w:rsidRPr="00F435AF">
              <w:rPr>
                <w:sz w:val="18"/>
                <w:szCs w:val="18"/>
              </w:rPr>
              <w:t>4% - 240,000 – 7,555 savings</w:t>
            </w:r>
          </w:p>
          <w:p w:rsidR="00003AAC" w:rsidRPr="00F435AF" w:rsidRDefault="009157E0">
            <w:pPr>
              <w:rPr>
                <w:sz w:val="18"/>
                <w:szCs w:val="18"/>
              </w:rPr>
            </w:pPr>
            <w:r w:rsidRPr="00F435AF">
              <w:rPr>
                <w:sz w:val="18"/>
                <w:szCs w:val="18"/>
              </w:rPr>
              <w:t xml:space="preserve">    </w:t>
            </w:r>
            <w:r w:rsidR="00003AAC" w:rsidRPr="00F435AF">
              <w:rPr>
                <w:sz w:val="18"/>
                <w:szCs w:val="18"/>
              </w:rPr>
              <w:t>32% - 357,500 – 14,730 savings</w:t>
            </w:r>
          </w:p>
          <w:p w:rsidR="00003AAC" w:rsidRPr="002F6D6F" w:rsidRDefault="00003AAC">
            <w:pPr>
              <w:rPr>
                <w:sz w:val="20"/>
                <w:szCs w:val="20"/>
              </w:rPr>
            </w:pPr>
          </w:p>
        </w:tc>
      </w:tr>
      <w:tr w:rsidR="008953F9" w:rsidTr="00704FE8">
        <w:tc>
          <w:tcPr>
            <w:tcW w:w="2965" w:type="dxa"/>
            <w:vMerge w:val="restart"/>
          </w:tcPr>
          <w:p w:rsidR="008953F9" w:rsidRPr="002F6D6F" w:rsidRDefault="008953F9">
            <w:pPr>
              <w:rPr>
                <w:b/>
                <w:i/>
                <w:sz w:val="20"/>
                <w:szCs w:val="20"/>
              </w:rPr>
            </w:pPr>
            <w:r w:rsidRPr="002F6D6F">
              <w:rPr>
                <w:b/>
                <w:i/>
                <w:sz w:val="20"/>
                <w:szCs w:val="20"/>
              </w:rPr>
              <w:t>Standard Deduction</w:t>
            </w:r>
          </w:p>
          <w:p w:rsidR="008953F9" w:rsidRPr="002F6D6F" w:rsidRDefault="008953F9">
            <w:pPr>
              <w:rPr>
                <w:b/>
                <w:i/>
                <w:sz w:val="20"/>
                <w:szCs w:val="20"/>
              </w:rPr>
            </w:pPr>
          </w:p>
        </w:tc>
        <w:tc>
          <w:tcPr>
            <w:tcW w:w="5712" w:type="dxa"/>
          </w:tcPr>
          <w:p w:rsidR="008953F9" w:rsidRDefault="00AF65F6">
            <w:pPr>
              <w:rPr>
                <w:sz w:val="20"/>
                <w:szCs w:val="20"/>
              </w:rPr>
            </w:pPr>
            <w:r>
              <w:rPr>
                <w:sz w:val="20"/>
                <w:szCs w:val="20"/>
              </w:rPr>
              <w:t>Single – 6,500</w:t>
            </w:r>
          </w:p>
          <w:p w:rsidR="002F6D6F" w:rsidRDefault="00AF65F6">
            <w:pPr>
              <w:rPr>
                <w:sz w:val="20"/>
                <w:szCs w:val="20"/>
              </w:rPr>
            </w:pPr>
            <w:r>
              <w:rPr>
                <w:sz w:val="20"/>
                <w:szCs w:val="20"/>
              </w:rPr>
              <w:t>Joint – 13,000</w:t>
            </w:r>
          </w:p>
          <w:p w:rsidR="002F6D6F" w:rsidRPr="002F6D6F" w:rsidRDefault="002F6D6F">
            <w:pPr>
              <w:rPr>
                <w:sz w:val="20"/>
                <w:szCs w:val="20"/>
              </w:rPr>
            </w:pPr>
          </w:p>
        </w:tc>
        <w:tc>
          <w:tcPr>
            <w:tcW w:w="5713" w:type="dxa"/>
          </w:tcPr>
          <w:p w:rsidR="008953F9" w:rsidRDefault="00AF65F6">
            <w:pPr>
              <w:rPr>
                <w:sz w:val="20"/>
                <w:szCs w:val="20"/>
              </w:rPr>
            </w:pPr>
            <w:r>
              <w:rPr>
                <w:sz w:val="20"/>
                <w:szCs w:val="20"/>
              </w:rPr>
              <w:t>Single – 12,000</w:t>
            </w:r>
          </w:p>
          <w:p w:rsidR="00AF65F6" w:rsidRPr="002F6D6F" w:rsidRDefault="005A0F40">
            <w:pPr>
              <w:rPr>
                <w:sz w:val="20"/>
                <w:szCs w:val="20"/>
              </w:rPr>
            </w:pPr>
            <w:r>
              <w:rPr>
                <w:sz w:val="20"/>
                <w:szCs w:val="20"/>
              </w:rPr>
              <w:t>Joint</w:t>
            </w:r>
            <w:r w:rsidR="00AF65F6">
              <w:rPr>
                <w:sz w:val="20"/>
                <w:szCs w:val="20"/>
              </w:rPr>
              <w:t xml:space="preserve"> – 24,000</w:t>
            </w:r>
          </w:p>
        </w:tc>
      </w:tr>
      <w:tr w:rsidR="008953F9" w:rsidTr="00704FE8">
        <w:tc>
          <w:tcPr>
            <w:tcW w:w="2965" w:type="dxa"/>
            <w:vMerge/>
          </w:tcPr>
          <w:p w:rsidR="008953F9" w:rsidRPr="002F6D6F" w:rsidRDefault="008953F9">
            <w:pPr>
              <w:rPr>
                <w:b/>
                <w:i/>
                <w:sz w:val="20"/>
                <w:szCs w:val="20"/>
              </w:rPr>
            </w:pPr>
          </w:p>
        </w:tc>
        <w:tc>
          <w:tcPr>
            <w:tcW w:w="11425" w:type="dxa"/>
            <w:gridSpan w:val="2"/>
          </w:tcPr>
          <w:p w:rsidR="002F6D6F" w:rsidRPr="002F6D6F" w:rsidRDefault="002F6D6F" w:rsidP="002F6D6F">
            <w:pPr>
              <w:rPr>
                <w:i/>
                <w:sz w:val="20"/>
                <w:szCs w:val="20"/>
                <w:u w:val="single"/>
              </w:rPr>
            </w:pPr>
            <w:r w:rsidRPr="002F6D6F">
              <w:rPr>
                <w:i/>
                <w:sz w:val="20"/>
                <w:szCs w:val="20"/>
                <w:u w:val="single"/>
              </w:rPr>
              <w:t xml:space="preserve">Observations </w:t>
            </w:r>
          </w:p>
          <w:p w:rsidR="00BA2B5E" w:rsidRPr="00F435AF" w:rsidRDefault="00F86CDD" w:rsidP="00BA2B5E">
            <w:pPr>
              <w:pStyle w:val="ListParagraph"/>
              <w:numPr>
                <w:ilvl w:val="0"/>
                <w:numId w:val="1"/>
              </w:numPr>
              <w:rPr>
                <w:sz w:val="20"/>
                <w:szCs w:val="20"/>
              </w:rPr>
            </w:pPr>
            <w:r w:rsidRPr="00F435AF">
              <w:rPr>
                <w:sz w:val="20"/>
                <w:szCs w:val="20"/>
              </w:rPr>
              <w:t>This is the provision that will reduce many more filers to a</w:t>
            </w:r>
            <w:r w:rsidR="00494E7B" w:rsidRPr="00F435AF">
              <w:rPr>
                <w:sz w:val="20"/>
                <w:szCs w:val="20"/>
              </w:rPr>
              <w:t xml:space="preserve"> Form</w:t>
            </w:r>
            <w:r w:rsidRPr="00F435AF">
              <w:rPr>
                <w:sz w:val="20"/>
                <w:szCs w:val="20"/>
              </w:rPr>
              <w:t xml:space="preserve"> 1040EZ</w:t>
            </w:r>
            <w:r w:rsidR="007764E2" w:rsidRPr="00F435AF">
              <w:rPr>
                <w:sz w:val="20"/>
                <w:szCs w:val="20"/>
              </w:rPr>
              <w:t>.</w:t>
            </w:r>
          </w:p>
          <w:p w:rsidR="008953F9" w:rsidRPr="002F6D6F" w:rsidRDefault="008953F9" w:rsidP="00A35A66">
            <w:pPr>
              <w:rPr>
                <w:sz w:val="20"/>
                <w:szCs w:val="20"/>
              </w:rPr>
            </w:pPr>
          </w:p>
        </w:tc>
      </w:tr>
      <w:tr w:rsidR="008953F9" w:rsidTr="00704FE8">
        <w:tc>
          <w:tcPr>
            <w:tcW w:w="2965" w:type="dxa"/>
            <w:vMerge w:val="restart"/>
          </w:tcPr>
          <w:p w:rsidR="008953F9" w:rsidRPr="00F86CDD" w:rsidRDefault="008953F9">
            <w:pPr>
              <w:rPr>
                <w:i/>
                <w:sz w:val="20"/>
                <w:szCs w:val="20"/>
              </w:rPr>
            </w:pPr>
            <w:r w:rsidRPr="002F6D6F">
              <w:rPr>
                <w:b/>
                <w:i/>
                <w:sz w:val="20"/>
                <w:szCs w:val="20"/>
              </w:rPr>
              <w:t>Certain Itemized Deductions</w:t>
            </w:r>
            <w:r w:rsidR="00F86CDD">
              <w:rPr>
                <w:i/>
                <w:sz w:val="20"/>
                <w:szCs w:val="20"/>
              </w:rPr>
              <w:t xml:space="preserve"> (those affecting a large number of filers)</w:t>
            </w:r>
          </w:p>
          <w:p w:rsidR="008953F9" w:rsidRPr="002F6D6F" w:rsidRDefault="008953F9">
            <w:pPr>
              <w:rPr>
                <w:b/>
                <w:i/>
                <w:sz w:val="20"/>
                <w:szCs w:val="20"/>
              </w:rPr>
            </w:pPr>
          </w:p>
        </w:tc>
        <w:tc>
          <w:tcPr>
            <w:tcW w:w="5712" w:type="dxa"/>
          </w:tcPr>
          <w:p w:rsidR="008953F9" w:rsidRDefault="005A0F40">
            <w:pPr>
              <w:rPr>
                <w:sz w:val="20"/>
                <w:szCs w:val="20"/>
              </w:rPr>
            </w:pPr>
            <w:r>
              <w:rPr>
                <w:sz w:val="20"/>
                <w:szCs w:val="20"/>
              </w:rPr>
              <w:t xml:space="preserve">Mortgage Interest </w:t>
            </w:r>
          </w:p>
          <w:p w:rsidR="005A0F40" w:rsidRDefault="00E26E76">
            <w:pPr>
              <w:rPr>
                <w:sz w:val="20"/>
                <w:szCs w:val="20"/>
              </w:rPr>
            </w:pPr>
            <w:r>
              <w:rPr>
                <w:sz w:val="20"/>
                <w:szCs w:val="20"/>
              </w:rPr>
              <w:t xml:space="preserve">         On loans up to 1,100,000</w:t>
            </w:r>
          </w:p>
          <w:p w:rsidR="00A35A66" w:rsidRDefault="00A35A66">
            <w:pPr>
              <w:rPr>
                <w:sz w:val="20"/>
                <w:szCs w:val="20"/>
              </w:rPr>
            </w:pPr>
          </w:p>
          <w:p w:rsidR="005A0F40" w:rsidRDefault="005A0F40">
            <w:pPr>
              <w:rPr>
                <w:i/>
                <w:sz w:val="20"/>
                <w:szCs w:val="20"/>
              </w:rPr>
            </w:pPr>
            <w:r>
              <w:rPr>
                <w:sz w:val="20"/>
                <w:szCs w:val="20"/>
              </w:rPr>
              <w:t xml:space="preserve">State &amp; Local Taxes </w:t>
            </w:r>
            <w:r w:rsidRPr="005A0F40">
              <w:rPr>
                <w:i/>
                <w:sz w:val="20"/>
                <w:szCs w:val="20"/>
              </w:rPr>
              <w:t>(SALT)</w:t>
            </w:r>
          </w:p>
          <w:p w:rsidR="00A35A66" w:rsidRDefault="00E26E76">
            <w:pPr>
              <w:rPr>
                <w:sz w:val="20"/>
                <w:szCs w:val="20"/>
              </w:rPr>
            </w:pPr>
            <w:r>
              <w:rPr>
                <w:sz w:val="20"/>
                <w:szCs w:val="20"/>
              </w:rPr>
              <w:t xml:space="preserve">         Unlimited</w:t>
            </w:r>
          </w:p>
          <w:p w:rsidR="00776A93" w:rsidRPr="002F6D6F" w:rsidRDefault="00776A93" w:rsidP="00F435AF">
            <w:pPr>
              <w:rPr>
                <w:sz w:val="20"/>
                <w:szCs w:val="20"/>
              </w:rPr>
            </w:pPr>
          </w:p>
        </w:tc>
        <w:tc>
          <w:tcPr>
            <w:tcW w:w="5713" w:type="dxa"/>
          </w:tcPr>
          <w:p w:rsidR="008953F9" w:rsidRDefault="008953F9">
            <w:pPr>
              <w:rPr>
                <w:sz w:val="20"/>
                <w:szCs w:val="20"/>
              </w:rPr>
            </w:pPr>
          </w:p>
          <w:p w:rsidR="00E26E76" w:rsidRDefault="00E26E76">
            <w:pPr>
              <w:rPr>
                <w:sz w:val="20"/>
                <w:szCs w:val="20"/>
              </w:rPr>
            </w:pPr>
            <w:r>
              <w:rPr>
                <w:sz w:val="20"/>
                <w:szCs w:val="20"/>
              </w:rPr>
              <w:t xml:space="preserve">         On loans up to 750,000</w:t>
            </w:r>
          </w:p>
          <w:p w:rsidR="00A35A66" w:rsidRDefault="00A35A66">
            <w:pPr>
              <w:rPr>
                <w:sz w:val="20"/>
                <w:szCs w:val="20"/>
              </w:rPr>
            </w:pPr>
          </w:p>
          <w:p w:rsidR="00E26E76" w:rsidRDefault="00E26E76">
            <w:pPr>
              <w:rPr>
                <w:sz w:val="20"/>
                <w:szCs w:val="20"/>
              </w:rPr>
            </w:pPr>
          </w:p>
          <w:p w:rsidR="00E26E76" w:rsidRPr="00E26E76" w:rsidRDefault="00E26E76" w:rsidP="00F435AF">
            <w:pPr>
              <w:rPr>
                <w:sz w:val="20"/>
                <w:szCs w:val="20"/>
              </w:rPr>
            </w:pPr>
            <w:r>
              <w:rPr>
                <w:sz w:val="20"/>
                <w:szCs w:val="20"/>
              </w:rPr>
              <w:t xml:space="preserve">         Single &amp; joint – up to </w:t>
            </w:r>
            <w:proofErr w:type="gramStart"/>
            <w:r>
              <w:rPr>
                <w:sz w:val="20"/>
                <w:szCs w:val="20"/>
              </w:rPr>
              <w:t xml:space="preserve">10,000         </w:t>
            </w:r>
            <w:proofErr w:type="gramEnd"/>
          </w:p>
        </w:tc>
      </w:tr>
      <w:tr w:rsidR="008953F9" w:rsidTr="00704FE8">
        <w:tc>
          <w:tcPr>
            <w:tcW w:w="2965" w:type="dxa"/>
            <w:vMerge/>
          </w:tcPr>
          <w:p w:rsidR="008953F9" w:rsidRPr="002F6D6F" w:rsidRDefault="008953F9">
            <w:pPr>
              <w:rPr>
                <w:b/>
                <w:i/>
                <w:sz w:val="20"/>
                <w:szCs w:val="20"/>
              </w:rPr>
            </w:pPr>
          </w:p>
        </w:tc>
        <w:tc>
          <w:tcPr>
            <w:tcW w:w="11425" w:type="dxa"/>
            <w:gridSpan w:val="2"/>
          </w:tcPr>
          <w:p w:rsidR="002F6D6F" w:rsidRPr="002F6D6F" w:rsidRDefault="002F6D6F" w:rsidP="002F6D6F">
            <w:pPr>
              <w:rPr>
                <w:i/>
                <w:sz w:val="20"/>
                <w:szCs w:val="20"/>
                <w:u w:val="single"/>
              </w:rPr>
            </w:pPr>
            <w:r w:rsidRPr="002F6D6F">
              <w:rPr>
                <w:i/>
                <w:sz w:val="20"/>
                <w:szCs w:val="20"/>
                <w:u w:val="single"/>
              </w:rPr>
              <w:t xml:space="preserve">Observations </w:t>
            </w:r>
          </w:p>
          <w:p w:rsidR="002F6D6F" w:rsidRDefault="00F86CDD" w:rsidP="00F86CDD">
            <w:pPr>
              <w:pStyle w:val="ListParagraph"/>
              <w:numPr>
                <w:ilvl w:val="0"/>
                <w:numId w:val="1"/>
              </w:numPr>
              <w:rPr>
                <w:sz w:val="20"/>
                <w:szCs w:val="20"/>
              </w:rPr>
            </w:pPr>
            <w:r>
              <w:rPr>
                <w:sz w:val="20"/>
                <w:szCs w:val="20"/>
              </w:rPr>
              <w:t>Most filers benefitting from these deductions will not be affected by the new limits</w:t>
            </w:r>
            <w:r w:rsidR="007764E2">
              <w:rPr>
                <w:sz w:val="20"/>
                <w:szCs w:val="20"/>
              </w:rPr>
              <w:t>.</w:t>
            </w:r>
          </w:p>
          <w:p w:rsidR="007E1B54" w:rsidRPr="007E1B54" w:rsidRDefault="00F86CDD" w:rsidP="007E1B54">
            <w:pPr>
              <w:pStyle w:val="ListParagraph"/>
              <w:numPr>
                <w:ilvl w:val="0"/>
                <w:numId w:val="1"/>
              </w:numPr>
              <w:rPr>
                <w:sz w:val="20"/>
                <w:szCs w:val="20"/>
              </w:rPr>
            </w:pPr>
            <w:r w:rsidRPr="007E1B54">
              <w:rPr>
                <w:sz w:val="20"/>
                <w:szCs w:val="20"/>
              </w:rPr>
              <w:t>Note – the discrimination between single and joint filers on the SALT deduction</w:t>
            </w:r>
            <w:r w:rsidR="007764E2" w:rsidRPr="007E1B54">
              <w:rPr>
                <w:sz w:val="20"/>
                <w:szCs w:val="20"/>
              </w:rPr>
              <w:t>.</w:t>
            </w:r>
          </w:p>
          <w:p w:rsidR="007E1B54" w:rsidRPr="007E1B54" w:rsidRDefault="007E1B54" w:rsidP="007E1B54">
            <w:pPr>
              <w:rPr>
                <w:sz w:val="20"/>
                <w:szCs w:val="20"/>
              </w:rPr>
            </w:pPr>
          </w:p>
          <w:p w:rsidR="008953F9" w:rsidRPr="002F6D6F" w:rsidRDefault="008953F9" w:rsidP="00F435AF">
            <w:pPr>
              <w:pStyle w:val="ListParagraph"/>
              <w:rPr>
                <w:sz w:val="20"/>
                <w:szCs w:val="20"/>
              </w:rPr>
            </w:pPr>
          </w:p>
        </w:tc>
      </w:tr>
      <w:tr w:rsidR="00F435AF" w:rsidTr="00704FE8">
        <w:tc>
          <w:tcPr>
            <w:tcW w:w="2965" w:type="dxa"/>
            <w:vMerge w:val="restart"/>
          </w:tcPr>
          <w:p w:rsidR="00F435AF" w:rsidRPr="002F6D6F" w:rsidRDefault="00F435AF">
            <w:pPr>
              <w:rPr>
                <w:b/>
                <w:i/>
                <w:sz w:val="20"/>
                <w:szCs w:val="20"/>
              </w:rPr>
            </w:pPr>
            <w:r>
              <w:rPr>
                <w:b/>
                <w:i/>
                <w:sz w:val="20"/>
                <w:szCs w:val="20"/>
              </w:rPr>
              <w:lastRenderedPageBreak/>
              <w:t>Personal Exemptions</w:t>
            </w:r>
          </w:p>
        </w:tc>
        <w:tc>
          <w:tcPr>
            <w:tcW w:w="5712" w:type="dxa"/>
          </w:tcPr>
          <w:p w:rsidR="00F435AF" w:rsidRDefault="00F435AF" w:rsidP="00F435AF">
            <w:pPr>
              <w:rPr>
                <w:sz w:val="20"/>
                <w:szCs w:val="20"/>
              </w:rPr>
            </w:pPr>
            <w:r>
              <w:rPr>
                <w:sz w:val="20"/>
                <w:szCs w:val="20"/>
              </w:rPr>
              <w:t>4,050/taxpayer and for each tax dependent - indexed</w:t>
            </w:r>
          </w:p>
          <w:p w:rsidR="00F435AF" w:rsidRDefault="00F435AF">
            <w:pPr>
              <w:rPr>
                <w:sz w:val="20"/>
                <w:szCs w:val="20"/>
              </w:rPr>
            </w:pPr>
          </w:p>
        </w:tc>
        <w:tc>
          <w:tcPr>
            <w:tcW w:w="5713" w:type="dxa"/>
          </w:tcPr>
          <w:p w:rsidR="00F435AF" w:rsidRDefault="00F435AF">
            <w:pPr>
              <w:rPr>
                <w:sz w:val="20"/>
                <w:szCs w:val="20"/>
              </w:rPr>
            </w:pPr>
            <w:r>
              <w:rPr>
                <w:sz w:val="20"/>
                <w:szCs w:val="20"/>
              </w:rPr>
              <w:t>Repealed</w:t>
            </w:r>
          </w:p>
        </w:tc>
      </w:tr>
      <w:tr w:rsidR="00F435AF" w:rsidTr="00004340">
        <w:tc>
          <w:tcPr>
            <w:tcW w:w="2965" w:type="dxa"/>
            <w:vMerge/>
          </w:tcPr>
          <w:p w:rsidR="00F435AF" w:rsidRDefault="00F435AF">
            <w:pPr>
              <w:rPr>
                <w:b/>
                <w:i/>
                <w:sz w:val="20"/>
                <w:szCs w:val="20"/>
              </w:rPr>
            </w:pPr>
          </w:p>
        </w:tc>
        <w:tc>
          <w:tcPr>
            <w:tcW w:w="11425" w:type="dxa"/>
            <w:gridSpan w:val="2"/>
          </w:tcPr>
          <w:p w:rsidR="00F435AF" w:rsidRPr="00F435AF" w:rsidRDefault="00F435AF" w:rsidP="00F435AF">
            <w:pPr>
              <w:rPr>
                <w:i/>
                <w:sz w:val="20"/>
                <w:szCs w:val="20"/>
                <w:u w:val="single"/>
              </w:rPr>
            </w:pPr>
            <w:r w:rsidRPr="00F435AF">
              <w:rPr>
                <w:i/>
                <w:sz w:val="20"/>
                <w:szCs w:val="20"/>
                <w:u w:val="single"/>
              </w:rPr>
              <w:t>Observations</w:t>
            </w:r>
          </w:p>
          <w:p w:rsidR="00F435AF" w:rsidRDefault="00F435AF" w:rsidP="00F435AF">
            <w:pPr>
              <w:pStyle w:val="ListParagraph"/>
              <w:numPr>
                <w:ilvl w:val="0"/>
                <w:numId w:val="12"/>
              </w:numPr>
              <w:rPr>
                <w:sz w:val="20"/>
                <w:szCs w:val="20"/>
              </w:rPr>
            </w:pPr>
            <w:r w:rsidRPr="00F435AF">
              <w:rPr>
                <w:sz w:val="20"/>
                <w:szCs w:val="20"/>
              </w:rPr>
              <w:t xml:space="preserve">Note – the loss of the personal exemptions will wipe out the benefit of the increased standard deduction in many cases (e.g. a married couple with two kids loses approx. </w:t>
            </w:r>
            <w:r w:rsidR="006E4470">
              <w:rPr>
                <w:sz w:val="20"/>
                <w:szCs w:val="20"/>
              </w:rPr>
              <w:t>20,000 in exemptions vs. an 11,</w:t>
            </w:r>
            <w:r w:rsidRPr="00F435AF">
              <w:rPr>
                <w:sz w:val="20"/>
                <w:szCs w:val="20"/>
              </w:rPr>
              <w:t>000 increase in the standard deduction).</w:t>
            </w:r>
          </w:p>
          <w:p w:rsidR="00C7077C" w:rsidRDefault="00C7077C" w:rsidP="00F435AF">
            <w:pPr>
              <w:pStyle w:val="ListParagraph"/>
              <w:numPr>
                <w:ilvl w:val="0"/>
                <w:numId w:val="12"/>
              </w:numPr>
              <w:rPr>
                <w:sz w:val="20"/>
                <w:szCs w:val="20"/>
              </w:rPr>
            </w:pPr>
            <w:r>
              <w:rPr>
                <w:sz w:val="20"/>
                <w:szCs w:val="20"/>
              </w:rPr>
              <w:t xml:space="preserve">Divorced couples – the right to claim exemptions for children under a divorce decree is often an important matter in the determination </w:t>
            </w:r>
            <w:proofErr w:type="gramStart"/>
            <w:r>
              <w:rPr>
                <w:sz w:val="20"/>
                <w:szCs w:val="20"/>
              </w:rPr>
              <w:t>of  alimony</w:t>
            </w:r>
            <w:proofErr w:type="gramEnd"/>
            <w:r>
              <w:rPr>
                <w:sz w:val="20"/>
                <w:szCs w:val="20"/>
              </w:rPr>
              <w:t xml:space="preserve"> or child support payments – the repeal could affect proceedings under those decrees allowing for adjustments</w:t>
            </w:r>
          </w:p>
          <w:p w:rsidR="00F435AF" w:rsidRDefault="00F435AF">
            <w:pPr>
              <w:rPr>
                <w:sz w:val="20"/>
                <w:szCs w:val="20"/>
              </w:rPr>
            </w:pPr>
          </w:p>
        </w:tc>
      </w:tr>
      <w:tr w:rsidR="00035FFE" w:rsidTr="00704FE8">
        <w:tc>
          <w:tcPr>
            <w:tcW w:w="2965" w:type="dxa"/>
            <w:vMerge w:val="restart"/>
          </w:tcPr>
          <w:p w:rsidR="00035FFE" w:rsidRDefault="00035FFE">
            <w:pPr>
              <w:rPr>
                <w:b/>
                <w:i/>
                <w:sz w:val="20"/>
                <w:szCs w:val="20"/>
              </w:rPr>
            </w:pPr>
            <w:r>
              <w:rPr>
                <w:b/>
                <w:i/>
                <w:sz w:val="20"/>
                <w:szCs w:val="20"/>
              </w:rPr>
              <w:t>Alimony</w:t>
            </w:r>
          </w:p>
        </w:tc>
        <w:tc>
          <w:tcPr>
            <w:tcW w:w="5712" w:type="dxa"/>
          </w:tcPr>
          <w:p w:rsidR="00035FFE" w:rsidRDefault="00035FFE" w:rsidP="00F435AF">
            <w:pPr>
              <w:rPr>
                <w:sz w:val="20"/>
                <w:szCs w:val="20"/>
              </w:rPr>
            </w:pPr>
            <w:r>
              <w:rPr>
                <w:sz w:val="20"/>
                <w:szCs w:val="20"/>
              </w:rPr>
              <w:t>Alimony was deductible to the payor, recognizable to the recipient</w:t>
            </w:r>
          </w:p>
          <w:p w:rsidR="00035FFE" w:rsidRDefault="00035FFE" w:rsidP="00F435AF">
            <w:pPr>
              <w:rPr>
                <w:sz w:val="20"/>
                <w:szCs w:val="20"/>
              </w:rPr>
            </w:pPr>
          </w:p>
        </w:tc>
        <w:tc>
          <w:tcPr>
            <w:tcW w:w="5713" w:type="dxa"/>
          </w:tcPr>
          <w:p w:rsidR="00035FFE" w:rsidRPr="00C7077C" w:rsidRDefault="00035FFE">
            <w:pPr>
              <w:rPr>
                <w:i/>
                <w:sz w:val="20"/>
                <w:szCs w:val="20"/>
                <w:u w:val="single"/>
              </w:rPr>
            </w:pPr>
            <w:r w:rsidRPr="00C7077C">
              <w:rPr>
                <w:i/>
                <w:sz w:val="20"/>
                <w:szCs w:val="20"/>
                <w:u w:val="single"/>
              </w:rPr>
              <w:t>For</w:t>
            </w:r>
            <w:r>
              <w:rPr>
                <w:i/>
                <w:sz w:val="20"/>
                <w:szCs w:val="20"/>
                <w:u w:val="single"/>
              </w:rPr>
              <w:t xml:space="preserve"> decrees </w:t>
            </w:r>
            <w:r w:rsidRPr="00035FFE">
              <w:rPr>
                <w:b/>
                <w:i/>
                <w:sz w:val="20"/>
                <w:szCs w:val="20"/>
                <w:u w:val="single"/>
              </w:rPr>
              <w:t xml:space="preserve">after </w:t>
            </w:r>
            <w:r>
              <w:rPr>
                <w:i/>
                <w:sz w:val="20"/>
                <w:szCs w:val="20"/>
                <w:u w:val="single"/>
              </w:rPr>
              <w:t>December 31, 2018</w:t>
            </w:r>
          </w:p>
          <w:p w:rsidR="00035FFE" w:rsidRDefault="00035FFE">
            <w:pPr>
              <w:rPr>
                <w:sz w:val="20"/>
                <w:szCs w:val="20"/>
              </w:rPr>
            </w:pPr>
            <w:r>
              <w:rPr>
                <w:sz w:val="20"/>
                <w:szCs w:val="20"/>
              </w:rPr>
              <w:t xml:space="preserve">     The opposite – alimony will no longer be deductible to the payor, and will no longer be recognizable to the recipient (the same as the current law for child custody payments.</w:t>
            </w:r>
          </w:p>
          <w:p w:rsidR="00035FFE" w:rsidRDefault="00035FFE">
            <w:pPr>
              <w:rPr>
                <w:sz w:val="20"/>
                <w:szCs w:val="20"/>
              </w:rPr>
            </w:pPr>
          </w:p>
        </w:tc>
      </w:tr>
      <w:tr w:rsidR="00035FFE" w:rsidTr="000D400E">
        <w:tc>
          <w:tcPr>
            <w:tcW w:w="2965" w:type="dxa"/>
            <w:vMerge/>
          </w:tcPr>
          <w:p w:rsidR="00035FFE" w:rsidRDefault="00035FFE">
            <w:pPr>
              <w:rPr>
                <w:b/>
                <w:i/>
                <w:sz w:val="20"/>
                <w:szCs w:val="20"/>
              </w:rPr>
            </w:pPr>
          </w:p>
        </w:tc>
        <w:tc>
          <w:tcPr>
            <w:tcW w:w="11425" w:type="dxa"/>
            <w:gridSpan w:val="2"/>
          </w:tcPr>
          <w:p w:rsidR="00035FFE" w:rsidRDefault="00035FFE" w:rsidP="00035FFE">
            <w:pPr>
              <w:rPr>
                <w:i/>
                <w:sz w:val="20"/>
                <w:szCs w:val="20"/>
                <w:u w:val="single"/>
              </w:rPr>
            </w:pPr>
            <w:r>
              <w:rPr>
                <w:i/>
                <w:sz w:val="20"/>
                <w:szCs w:val="20"/>
                <w:u w:val="single"/>
              </w:rPr>
              <w:t>Observations</w:t>
            </w:r>
          </w:p>
          <w:p w:rsidR="00035FFE" w:rsidRPr="00035FFE" w:rsidRDefault="00035FFE" w:rsidP="00035FFE">
            <w:pPr>
              <w:pStyle w:val="ListParagraph"/>
              <w:numPr>
                <w:ilvl w:val="0"/>
                <w:numId w:val="14"/>
              </w:numPr>
              <w:rPr>
                <w:i/>
                <w:sz w:val="20"/>
                <w:szCs w:val="20"/>
                <w:u w:val="single"/>
              </w:rPr>
            </w:pPr>
            <w:r>
              <w:rPr>
                <w:sz w:val="20"/>
                <w:szCs w:val="20"/>
              </w:rPr>
              <w:t>This will affect the amount of after-tax money available where the payor is in a higher tax bracket than the recipient</w:t>
            </w:r>
          </w:p>
          <w:p w:rsidR="00035FFE" w:rsidRPr="00035FFE" w:rsidRDefault="00035FFE" w:rsidP="00035FFE">
            <w:pPr>
              <w:pStyle w:val="ListParagraph"/>
              <w:rPr>
                <w:i/>
                <w:sz w:val="20"/>
                <w:szCs w:val="20"/>
                <w:u w:val="single"/>
              </w:rPr>
            </w:pPr>
          </w:p>
        </w:tc>
      </w:tr>
      <w:tr w:rsidR="00F435AF" w:rsidTr="00704FE8">
        <w:tc>
          <w:tcPr>
            <w:tcW w:w="2965" w:type="dxa"/>
            <w:vMerge w:val="restart"/>
          </w:tcPr>
          <w:p w:rsidR="00F435AF" w:rsidRDefault="00A613B4">
            <w:pPr>
              <w:rPr>
                <w:b/>
                <w:i/>
                <w:sz w:val="20"/>
                <w:szCs w:val="20"/>
              </w:rPr>
            </w:pPr>
            <w:r>
              <w:rPr>
                <w:b/>
                <w:i/>
                <w:sz w:val="20"/>
                <w:szCs w:val="20"/>
              </w:rPr>
              <w:t>Child and Family Tax Credit</w:t>
            </w:r>
          </w:p>
        </w:tc>
        <w:tc>
          <w:tcPr>
            <w:tcW w:w="5712" w:type="dxa"/>
          </w:tcPr>
          <w:p w:rsidR="00F435AF" w:rsidRDefault="00C36FDC" w:rsidP="00F435AF">
            <w:pPr>
              <w:rPr>
                <w:sz w:val="20"/>
                <w:szCs w:val="20"/>
              </w:rPr>
            </w:pPr>
            <w:proofErr w:type="gramStart"/>
            <w:r>
              <w:rPr>
                <w:sz w:val="20"/>
                <w:szCs w:val="20"/>
              </w:rPr>
              <w:t>1)  1,000</w:t>
            </w:r>
            <w:proofErr w:type="gramEnd"/>
            <w:r>
              <w:rPr>
                <w:sz w:val="20"/>
                <w:szCs w:val="20"/>
              </w:rPr>
              <w:t xml:space="preserve"> credit per qualifying child</w:t>
            </w:r>
            <w:r w:rsidR="00D83BB3">
              <w:rPr>
                <w:sz w:val="20"/>
                <w:szCs w:val="20"/>
              </w:rPr>
              <w:t xml:space="preserve"> </w:t>
            </w:r>
            <w:r w:rsidR="00CF40CB">
              <w:rPr>
                <w:sz w:val="20"/>
                <w:szCs w:val="20"/>
              </w:rPr>
              <w:t xml:space="preserve">(under age 17) </w:t>
            </w:r>
            <w:r w:rsidR="00D83BB3">
              <w:rPr>
                <w:sz w:val="20"/>
                <w:szCs w:val="20"/>
              </w:rPr>
              <w:t>up to 2 children</w:t>
            </w:r>
          </w:p>
          <w:p w:rsidR="005C2382" w:rsidRDefault="005C2382" w:rsidP="00F435AF">
            <w:pPr>
              <w:rPr>
                <w:sz w:val="20"/>
                <w:szCs w:val="20"/>
              </w:rPr>
            </w:pPr>
          </w:p>
          <w:p w:rsidR="00C36FDC" w:rsidRDefault="00C36FDC" w:rsidP="00F435AF">
            <w:pPr>
              <w:rPr>
                <w:sz w:val="20"/>
                <w:szCs w:val="20"/>
              </w:rPr>
            </w:pPr>
            <w:proofErr w:type="gramStart"/>
            <w:r>
              <w:rPr>
                <w:sz w:val="20"/>
                <w:szCs w:val="20"/>
              </w:rPr>
              <w:t>2)  Non</w:t>
            </w:r>
            <w:proofErr w:type="gramEnd"/>
            <w:r>
              <w:rPr>
                <w:sz w:val="20"/>
                <w:szCs w:val="20"/>
              </w:rPr>
              <w:t>-refundable – credit stopped when taxable income was reduced below zero</w:t>
            </w:r>
          </w:p>
          <w:p w:rsidR="005C2382" w:rsidRDefault="005C2382" w:rsidP="00F435AF">
            <w:pPr>
              <w:rPr>
                <w:sz w:val="20"/>
                <w:szCs w:val="20"/>
              </w:rPr>
            </w:pPr>
          </w:p>
          <w:p w:rsidR="00C36FDC" w:rsidRDefault="00C36FDC" w:rsidP="00F435AF">
            <w:pPr>
              <w:rPr>
                <w:sz w:val="20"/>
                <w:szCs w:val="20"/>
              </w:rPr>
            </w:pPr>
            <w:proofErr w:type="gramStart"/>
            <w:r>
              <w:rPr>
                <w:sz w:val="20"/>
                <w:szCs w:val="20"/>
              </w:rPr>
              <w:t>3)  Phase</w:t>
            </w:r>
            <w:proofErr w:type="gramEnd"/>
            <w:r>
              <w:rPr>
                <w:sz w:val="20"/>
                <w:szCs w:val="20"/>
              </w:rPr>
              <w:t>-out begins for joint at 110,000 AGI, single 75,000 AGI</w:t>
            </w:r>
          </w:p>
          <w:p w:rsidR="00C36FDC" w:rsidRDefault="00C36FDC" w:rsidP="00F435AF">
            <w:pPr>
              <w:rPr>
                <w:sz w:val="20"/>
                <w:szCs w:val="20"/>
              </w:rPr>
            </w:pPr>
          </w:p>
        </w:tc>
        <w:tc>
          <w:tcPr>
            <w:tcW w:w="5713" w:type="dxa"/>
          </w:tcPr>
          <w:p w:rsidR="00F435AF" w:rsidRDefault="00C36FDC">
            <w:pPr>
              <w:rPr>
                <w:sz w:val="20"/>
                <w:szCs w:val="20"/>
              </w:rPr>
            </w:pPr>
            <w:proofErr w:type="gramStart"/>
            <w:r>
              <w:rPr>
                <w:sz w:val="20"/>
                <w:szCs w:val="20"/>
              </w:rPr>
              <w:t>1)  2,000</w:t>
            </w:r>
            <w:proofErr w:type="gramEnd"/>
            <w:r>
              <w:rPr>
                <w:sz w:val="20"/>
                <w:szCs w:val="20"/>
              </w:rPr>
              <w:t xml:space="preserve"> credit per qualifying child</w:t>
            </w:r>
            <w:r w:rsidR="00CF40CB">
              <w:rPr>
                <w:sz w:val="20"/>
                <w:szCs w:val="20"/>
              </w:rPr>
              <w:t xml:space="preserve"> (under age 17)</w:t>
            </w:r>
            <w:r w:rsidR="00D83BB3">
              <w:rPr>
                <w:sz w:val="20"/>
                <w:szCs w:val="20"/>
              </w:rPr>
              <w:t xml:space="preserve"> up to 2 children</w:t>
            </w:r>
          </w:p>
          <w:p w:rsidR="005C2382" w:rsidRDefault="005C2382">
            <w:pPr>
              <w:rPr>
                <w:sz w:val="20"/>
                <w:szCs w:val="20"/>
              </w:rPr>
            </w:pPr>
          </w:p>
          <w:p w:rsidR="00C36FDC" w:rsidRDefault="00C36FDC">
            <w:pPr>
              <w:rPr>
                <w:sz w:val="20"/>
                <w:szCs w:val="20"/>
              </w:rPr>
            </w:pPr>
            <w:proofErr w:type="gramStart"/>
            <w:r>
              <w:rPr>
                <w:sz w:val="20"/>
                <w:szCs w:val="20"/>
              </w:rPr>
              <w:t>2)  Refundable</w:t>
            </w:r>
            <w:proofErr w:type="gramEnd"/>
            <w:r>
              <w:rPr>
                <w:sz w:val="20"/>
                <w:szCs w:val="20"/>
              </w:rPr>
              <w:t xml:space="preserve"> – up to 1,400 per child even if taxable income drops below zero</w:t>
            </w:r>
          </w:p>
          <w:p w:rsidR="005C2382" w:rsidRDefault="005C2382">
            <w:pPr>
              <w:rPr>
                <w:sz w:val="20"/>
                <w:szCs w:val="20"/>
              </w:rPr>
            </w:pPr>
          </w:p>
          <w:p w:rsidR="00C36FDC" w:rsidRDefault="00C36FDC">
            <w:pPr>
              <w:rPr>
                <w:sz w:val="20"/>
                <w:szCs w:val="20"/>
              </w:rPr>
            </w:pPr>
            <w:proofErr w:type="gramStart"/>
            <w:r>
              <w:rPr>
                <w:sz w:val="20"/>
                <w:szCs w:val="20"/>
              </w:rPr>
              <w:t>3)  Phase</w:t>
            </w:r>
            <w:proofErr w:type="gramEnd"/>
            <w:r>
              <w:rPr>
                <w:sz w:val="20"/>
                <w:szCs w:val="20"/>
              </w:rPr>
              <w:t>-out begins for joint at 400,000 AGI, single at 200,000 AGI</w:t>
            </w:r>
          </w:p>
          <w:p w:rsidR="00C36FDC" w:rsidRDefault="00C36FDC">
            <w:pPr>
              <w:rPr>
                <w:sz w:val="20"/>
                <w:szCs w:val="20"/>
              </w:rPr>
            </w:pPr>
          </w:p>
        </w:tc>
      </w:tr>
      <w:tr w:rsidR="00F435AF" w:rsidTr="00B5227F">
        <w:tc>
          <w:tcPr>
            <w:tcW w:w="2965" w:type="dxa"/>
            <w:vMerge/>
          </w:tcPr>
          <w:p w:rsidR="00F435AF" w:rsidRDefault="00F435AF">
            <w:pPr>
              <w:rPr>
                <w:b/>
                <w:i/>
                <w:sz w:val="20"/>
                <w:szCs w:val="20"/>
              </w:rPr>
            </w:pPr>
          </w:p>
        </w:tc>
        <w:tc>
          <w:tcPr>
            <w:tcW w:w="11425" w:type="dxa"/>
            <w:gridSpan w:val="2"/>
          </w:tcPr>
          <w:p w:rsidR="00F435AF" w:rsidRDefault="00C36FDC" w:rsidP="00C36FDC">
            <w:pPr>
              <w:pStyle w:val="ListParagraph"/>
              <w:numPr>
                <w:ilvl w:val="0"/>
                <w:numId w:val="14"/>
              </w:numPr>
              <w:rPr>
                <w:sz w:val="20"/>
                <w:szCs w:val="20"/>
              </w:rPr>
            </w:pPr>
            <w:r w:rsidRPr="005C2382">
              <w:rPr>
                <w:b/>
                <w:i/>
                <w:sz w:val="20"/>
                <w:szCs w:val="20"/>
              </w:rPr>
              <w:t>Important</w:t>
            </w:r>
            <w:r>
              <w:rPr>
                <w:sz w:val="20"/>
                <w:szCs w:val="20"/>
              </w:rPr>
              <w:t xml:space="preserve"> – a </w:t>
            </w:r>
            <w:r w:rsidRPr="005C2382">
              <w:rPr>
                <w:i/>
                <w:sz w:val="20"/>
                <w:szCs w:val="20"/>
                <w:u w:val="single"/>
              </w:rPr>
              <w:t>credit</w:t>
            </w:r>
            <w:r>
              <w:rPr>
                <w:sz w:val="20"/>
                <w:szCs w:val="20"/>
              </w:rPr>
              <w:t xml:space="preserve"> is a dollar-for-dollar deduction of the tax owed – </w:t>
            </w:r>
            <w:r w:rsidR="005C2382">
              <w:rPr>
                <w:sz w:val="20"/>
                <w:szCs w:val="20"/>
              </w:rPr>
              <w:t xml:space="preserve">each full credit is </w:t>
            </w:r>
            <w:r>
              <w:rPr>
                <w:sz w:val="20"/>
                <w:szCs w:val="20"/>
              </w:rPr>
              <w:t>equivalent to almost 17,000 in deductions in a 12% bracket</w:t>
            </w:r>
            <w:r w:rsidR="002A5E2C">
              <w:rPr>
                <w:sz w:val="20"/>
                <w:szCs w:val="20"/>
              </w:rPr>
              <w:t xml:space="preserve"> and around 9,000 in deductions in a 22% bracket</w:t>
            </w:r>
            <w:r w:rsidR="005C2382">
              <w:rPr>
                <w:sz w:val="20"/>
                <w:szCs w:val="20"/>
              </w:rPr>
              <w:t xml:space="preserve"> – this credit is often overlooked – for taxpayers with qualifying children this goes a long way to offsetting the loss of personal exemptions</w:t>
            </w:r>
          </w:p>
          <w:p w:rsidR="00C36FDC" w:rsidRDefault="005C2382" w:rsidP="00C36FDC">
            <w:pPr>
              <w:pStyle w:val="ListParagraph"/>
              <w:numPr>
                <w:ilvl w:val="0"/>
                <w:numId w:val="14"/>
              </w:numPr>
              <w:rPr>
                <w:sz w:val="20"/>
                <w:szCs w:val="20"/>
              </w:rPr>
            </w:pPr>
            <w:r>
              <w:rPr>
                <w:sz w:val="20"/>
                <w:szCs w:val="20"/>
              </w:rPr>
              <w:t>Divorced couples – the right to claim this credit can play an important role in most decrees</w:t>
            </w:r>
          </w:p>
          <w:p w:rsidR="005C2382" w:rsidRPr="00C36FDC" w:rsidRDefault="005C2382" w:rsidP="005C2382">
            <w:pPr>
              <w:pStyle w:val="ListParagraph"/>
              <w:rPr>
                <w:sz w:val="20"/>
                <w:szCs w:val="20"/>
              </w:rPr>
            </w:pPr>
          </w:p>
        </w:tc>
      </w:tr>
      <w:tr w:rsidR="008953F9" w:rsidTr="00704FE8">
        <w:tc>
          <w:tcPr>
            <w:tcW w:w="2965" w:type="dxa"/>
            <w:vMerge w:val="restart"/>
          </w:tcPr>
          <w:p w:rsidR="008953F9" w:rsidRPr="002F6D6F" w:rsidRDefault="008953F9">
            <w:pPr>
              <w:rPr>
                <w:b/>
                <w:i/>
                <w:sz w:val="20"/>
                <w:szCs w:val="20"/>
              </w:rPr>
            </w:pPr>
            <w:r w:rsidRPr="002F6D6F">
              <w:rPr>
                <w:b/>
                <w:i/>
                <w:sz w:val="20"/>
                <w:szCs w:val="20"/>
              </w:rPr>
              <w:t>Charitable Deductions</w:t>
            </w:r>
          </w:p>
          <w:p w:rsidR="008953F9" w:rsidRPr="002F6D6F" w:rsidRDefault="008953F9">
            <w:pPr>
              <w:rPr>
                <w:b/>
                <w:i/>
                <w:sz w:val="20"/>
                <w:szCs w:val="20"/>
              </w:rPr>
            </w:pPr>
          </w:p>
        </w:tc>
        <w:tc>
          <w:tcPr>
            <w:tcW w:w="5712" w:type="dxa"/>
          </w:tcPr>
          <w:p w:rsidR="00627CE0" w:rsidRDefault="00CC73C3">
            <w:pPr>
              <w:rPr>
                <w:sz w:val="20"/>
                <w:szCs w:val="20"/>
              </w:rPr>
            </w:pPr>
            <w:r>
              <w:rPr>
                <w:sz w:val="20"/>
                <w:szCs w:val="20"/>
              </w:rPr>
              <w:t xml:space="preserve">Most contributions </w:t>
            </w:r>
            <w:r w:rsidR="00704FE8">
              <w:rPr>
                <w:sz w:val="20"/>
                <w:szCs w:val="20"/>
              </w:rPr>
              <w:t xml:space="preserve">(e.g. cash) are </w:t>
            </w:r>
            <w:r>
              <w:rPr>
                <w:sz w:val="20"/>
                <w:szCs w:val="20"/>
              </w:rPr>
              <w:t>deductible up to 50% of AGI with 5-year carryover for use of any excess</w:t>
            </w:r>
            <w:r w:rsidR="007764E2">
              <w:rPr>
                <w:sz w:val="20"/>
                <w:szCs w:val="20"/>
              </w:rPr>
              <w:t>.</w:t>
            </w:r>
          </w:p>
          <w:p w:rsidR="002F6D6F" w:rsidRPr="002F6D6F" w:rsidRDefault="002F6D6F">
            <w:pPr>
              <w:rPr>
                <w:sz w:val="20"/>
                <w:szCs w:val="20"/>
              </w:rPr>
            </w:pPr>
          </w:p>
        </w:tc>
        <w:tc>
          <w:tcPr>
            <w:tcW w:w="5713" w:type="dxa"/>
          </w:tcPr>
          <w:p w:rsidR="008953F9" w:rsidRDefault="00CC73C3">
            <w:pPr>
              <w:rPr>
                <w:sz w:val="20"/>
                <w:szCs w:val="20"/>
              </w:rPr>
            </w:pPr>
            <w:r>
              <w:rPr>
                <w:sz w:val="20"/>
                <w:szCs w:val="20"/>
              </w:rPr>
              <w:t>Increased to 60% of AGI with 5-year carryover</w:t>
            </w:r>
            <w:r w:rsidR="007764E2">
              <w:rPr>
                <w:sz w:val="20"/>
                <w:szCs w:val="20"/>
              </w:rPr>
              <w:t>.</w:t>
            </w:r>
          </w:p>
          <w:p w:rsidR="00BA2B5E" w:rsidRDefault="00BA2B5E">
            <w:pPr>
              <w:rPr>
                <w:sz w:val="20"/>
                <w:szCs w:val="20"/>
              </w:rPr>
            </w:pPr>
          </w:p>
          <w:p w:rsidR="00BA2B5E" w:rsidRDefault="00BA2B5E">
            <w:pPr>
              <w:rPr>
                <w:sz w:val="20"/>
                <w:szCs w:val="20"/>
              </w:rPr>
            </w:pPr>
            <w:r>
              <w:rPr>
                <w:sz w:val="20"/>
                <w:szCs w:val="20"/>
              </w:rPr>
              <w:t>30% AGI limit stills applies for donation of appreciated property</w:t>
            </w:r>
          </w:p>
          <w:p w:rsidR="00BA2B5E" w:rsidRPr="002F6D6F" w:rsidRDefault="00BA2B5E">
            <w:pPr>
              <w:rPr>
                <w:sz w:val="20"/>
                <w:szCs w:val="20"/>
              </w:rPr>
            </w:pPr>
          </w:p>
        </w:tc>
      </w:tr>
      <w:tr w:rsidR="008953F9" w:rsidTr="00704FE8">
        <w:tc>
          <w:tcPr>
            <w:tcW w:w="2965" w:type="dxa"/>
            <w:vMerge/>
          </w:tcPr>
          <w:p w:rsidR="008953F9" w:rsidRPr="002F6D6F" w:rsidRDefault="008953F9">
            <w:pPr>
              <w:rPr>
                <w:b/>
                <w:i/>
                <w:sz w:val="20"/>
                <w:szCs w:val="20"/>
              </w:rPr>
            </w:pPr>
          </w:p>
        </w:tc>
        <w:tc>
          <w:tcPr>
            <w:tcW w:w="11425" w:type="dxa"/>
            <w:gridSpan w:val="2"/>
          </w:tcPr>
          <w:p w:rsidR="002F6D6F" w:rsidRPr="002F6D6F" w:rsidRDefault="002F6D6F" w:rsidP="002F6D6F">
            <w:pPr>
              <w:rPr>
                <w:i/>
                <w:sz w:val="20"/>
                <w:szCs w:val="20"/>
                <w:u w:val="single"/>
              </w:rPr>
            </w:pPr>
            <w:r w:rsidRPr="002F6D6F">
              <w:rPr>
                <w:i/>
                <w:sz w:val="20"/>
                <w:szCs w:val="20"/>
                <w:u w:val="single"/>
              </w:rPr>
              <w:t xml:space="preserve">Observations </w:t>
            </w:r>
          </w:p>
          <w:p w:rsidR="002F6D6F" w:rsidRDefault="00704FE8" w:rsidP="00704FE8">
            <w:pPr>
              <w:pStyle w:val="ListParagraph"/>
              <w:numPr>
                <w:ilvl w:val="0"/>
                <w:numId w:val="2"/>
              </w:numPr>
              <w:rPr>
                <w:sz w:val="20"/>
                <w:szCs w:val="20"/>
              </w:rPr>
            </w:pPr>
            <w:r>
              <w:rPr>
                <w:sz w:val="20"/>
                <w:szCs w:val="20"/>
              </w:rPr>
              <w:t xml:space="preserve">Loose talk of a “repeal or </w:t>
            </w:r>
            <w:proofErr w:type="gramStart"/>
            <w:r>
              <w:rPr>
                <w:sz w:val="20"/>
                <w:szCs w:val="20"/>
              </w:rPr>
              <w:t>cut-back</w:t>
            </w:r>
            <w:proofErr w:type="gramEnd"/>
            <w:r w:rsidR="000E0469">
              <w:rPr>
                <w:sz w:val="20"/>
                <w:szCs w:val="20"/>
              </w:rPr>
              <w:t>”</w:t>
            </w:r>
            <w:r>
              <w:rPr>
                <w:sz w:val="20"/>
                <w:szCs w:val="20"/>
              </w:rPr>
              <w:t xml:space="preserve"> of charitable deductions in the law </w:t>
            </w:r>
            <w:r w:rsidR="00BA2B5E">
              <w:rPr>
                <w:sz w:val="20"/>
                <w:szCs w:val="20"/>
              </w:rPr>
              <w:t>are</w:t>
            </w:r>
            <w:r>
              <w:rPr>
                <w:sz w:val="20"/>
                <w:szCs w:val="20"/>
              </w:rPr>
              <w:t xml:space="preserve"> not accurate</w:t>
            </w:r>
            <w:r w:rsidR="007764E2">
              <w:rPr>
                <w:sz w:val="20"/>
                <w:szCs w:val="20"/>
              </w:rPr>
              <w:t>.</w:t>
            </w:r>
          </w:p>
          <w:p w:rsidR="00704FE8" w:rsidRDefault="00BA2B5E" w:rsidP="00704FE8">
            <w:pPr>
              <w:pStyle w:val="ListParagraph"/>
              <w:numPr>
                <w:ilvl w:val="0"/>
                <w:numId w:val="2"/>
              </w:numPr>
              <w:rPr>
                <w:sz w:val="20"/>
                <w:szCs w:val="20"/>
              </w:rPr>
            </w:pPr>
            <w:r>
              <w:rPr>
                <w:sz w:val="20"/>
                <w:szCs w:val="20"/>
              </w:rPr>
              <w:t xml:space="preserve">The misunderstanding is probably based on </w:t>
            </w:r>
            <w:r w:rsidR="00704FE8" w:rsidRPr="00704FE8">
              <w:rPr>
                <w:sz w:val="20"/>
                <w:szCs w:val="20"/>
              </w:rPr>
              <w:t>the effect of the increased standard deduction.  Consider a single taxpayer with 10,000 in charitable donations:</w:t>
            </w:r>
          </w:p>
          <w:p w:rsidR="00704FE8" w:rsidRPr="006476E9" w:rsidRDefault="00704FE8" w:rsidP="006476E9">
            <w:pPr>
              <w:pStyle w:val="ListParagraph"/>
              <w:ind w:left="1305"/>
              <w:rPr>
                <w:sz w:val="20"/>
                <w:szCs w:val="20"/>
              </w:rPr>
            </w:pPr>
            <w:r w:rsidRPr="006476E9">
              <w:rPr>
                <w:sz w:val="20"/>
                <w:szCs w:val="20"/>
              </w:rPr>
              <w:t>In 2017 he/she needed to itemize to benefit from the donation amount over 6,500</w:t>
            </w:r>
            <w:r w:rsidR="007764E2">
              <w:rPr>
                <w:sz w:val="20"/>
                <w:szCs w:val="20"/>
              </w:rPr>
              <w:t>.</w:t>
            </w:r>
          </w:p>
          <w:p w:rsidR="00704FE8" w:rsidRDefault="00704FE8" w:rsidP="006476E9">
            <w:pPr>
              <w:pStyle w:val="ListParagraph"/>
              <w:ind w:left="1305"/>
              <w:rPr>
                <w:sz w:val="20"/>
                <w:szCs w:val="20"/>
              </w:rPr>
            </w:pPr>
            <w:r>
              <w:rPr>
                <w:sz w:val="20"/>
                <w:szCs w:val="20"/>
              </w:rPr>
              <w:t>In 2018 the standard deduction of 13,000 covers the whole deal without itemizing</w:t>
            </w:r>
            <w:r w:rsidR="007764E2">
              <w:rPr>
                <w:sz w:val="20"/>
                <w:szCs w:val="20"/>
              </w:rPr>
              <w:t>.</w:t>
            </w:r>
          </w:p>
          <w:p w:rsidR="007E1B54" w:rsidRDefault="00704FE8" w:rsidP="007E1B54">
            <w:pPr>
              <w:pStyle w:val="ListParagraph"/>
              <w:ind w:left="1305"/>
              <w:rPr>
                <w:sz w:val="20"/>
                <w:szCs w:val="20"/>
              </w:rPr>
            </w:pPr>
            <w:r>
              <w:rPr>
                <w:sz w:val="20"/>
                <w:szCs w:val="20"/>
              </w:rPr>
              <w:t>Some unrealistically suspect this will cause taxpayers to stop giving</w:t>
            </w:r>
            <w:r w:rsidR="007764E2">
              <w:rPr>
                <w:sz w:val="20"/>
                <w:szCs w:val="20"/>
              </w:rPr>
              <w:t>.</w:t>
            </w:r>
          </w:p>
          <w:p w:rsidR="007E1B54" w:rsidRPr="002F6D6F" w:rsidRDefault="007E1B54" w:rsidP="00962444">
            <w:pPr>
              <w:rPr>
                <w:sz w:val="20"/>
                <w:szCs w:val="20"/>
              </w:rPr>
            </w:pPr>
          </w:p>
        </w:tc>
      </w:tr>
      <w:tr w:rsidR="000E17C3" w:rsidTr="00C01C06">
        <w:tc>
          <w:tcPr>
            <w:tcW w:w="14390" w:type="dxa"/>
            <w:gridSpan w:val="3"/>
          </w:tcPr>
          <w:p w:rsidR="007E1B54" w:rsidRDefault="007E1B54" w:rsidP="000E17C3">
            <w:pPr>
              <w:jc w:val="center"/>
              <w:rPr>
                <w:b/>
                <w:i/>
              </w:rPr>
            </w:pPr>
          </w:p>
          <w:p w:rsidR="007E1B54" w:rsidRDefault="007E1B54" w:rsidP="000E17C3">
            <w:pPr>
              <w:jc w:val="center"/>
              <w:rPr>
                <w:b/>
                <w:i/>
              </w:rPr>
            </w:pPr>
          </w:p>
          <w:p w:rsidR="007E1B54" w:rsidRDefault="007E1B54" w:rsidP="000E17C3">
            <w:pPr>
              <w:jc w:val="center"/>
              <w:rPr>
                <w:b/>
                <w:i/>
              </w:rPr>
            </w:pPr>
          </w:p>
          <w:p w:rsidR="000E17C3" w:rsidRDefault="000E17C3" w:rsidP="000E17C3">
            <w:pPr>
              <w:jc w:val="center"/>
              <w:rPr>
                <w:b/>
                <w:i/>
              </w:rPr>
            </w:pPr>
            <w:r w:rsidRPr="002F6D6F">
              <w:rPr>
                <w:b/>
                <w:i/>
              </w:rPr>
              <w:lastRenderedPageBreak/>
              <w:t>Business Income Tax</w:t>
            </w:r>
          </w:p>
          <w:p w:rsidR="00A803E3" w:rsidRPr="002F6D6F" w:rsidRDefault="00A803E3" w:rsidP="000E17C3">
            <w:pPr>
              <w:jc w:val="center"/>
              <w:rPr>
                <w:b/>
                <w:i/>
              </w:rPr>
            </w:pPr>
          </w:p>
        </w:tc>
      </w:tr>
      <w:tr w:rsidR="008953F9" w:rsidTr="00704FE8">
        <w:tc>
          <w:tcPr>
            <w:tcW w:w="2965" w:type="dxa"/>
            <w:vMerge w:val="restart"/>
          </w:tcPr>
          <w:p w:rsidR="008953F9" w:rsidRPr="002F6D6F" w:rsidRDefault="008953F9">
            <w:pPr>
              <w:rPr>
                <w:b/>
                <w:i/>
                <w:sz w:val="20"/>
                <w:szCs w:val="20"/>
              </w:rPr>
            </w:pPr>
            <w:r w:rsidRPr="002F6D6F">
              <w:rPr>
                <w:b/>
                <w:i/>
                <w:sz w:val="20"/>
                <w:szCs w:val="20"/>
              </w:rPr>
              <w:lastRenderedPageBreak/>
              <w:t>Tax Brackets – C-</w:t>
            </w:r>
            <w:r w:rsidR="000E0469">
              <w:rPr>
                <w:b/>
                <w:i/>
                <w:sz w:val="20"/>
                <w:szCs w:val="20"/>
              </w:rPr>
              <w:t>C</w:t>
            </w:r>
            <w:r w:rsidRPr="002F6D6F">
              <w:rPr>
                <w:b/>
                <w:i/>
                <w:sz w:val="20"/>
                <w:szCs w:val="20"/>
              </w:rPr>
              <w:t>orps</w:t>
            </w:r>
          </w:p>
        </w:tc>
        <w:tc>
          <w:tcPr>
            <w:tcW w:w="5712" w:type="dxa"/>
          </w:tcPr>
          <w:p w:rsidR="008953F9" w:rsidRDefault="00605127">
            <w:pPr>
              <w:rPr>
                <w:sz w:val="20"/>
                <w:szCs w:val="20"/>
              </w:rPr>
            </w:pPr>
            <w:r>
              <w:rPr>
                <w:sz w:val="20"/>
                <w:szCs w:val="20"/>
              </w:rPr>
              <w:t>Eight brackets configured to eventually, given enough income, tax all dollars at a flat 35%</w:t>
            </w:r>
            <w:r w:rsidR="007764E2">
              <w:rPr>
                <w:sz w:val="20"/>
                <w:szCs w:val="20"/>
              </w:rPr>
              <w:t>.</w:t>
            </w:r>
          </w:p>
          <w:p w:rsidR="000E0469" w:rsidRDefault="000E0469">
            <w:pPr>
              <w:rPr>
                <w:sz w:val="20"/>
                <w:szCs w:val="20"/>
              </w:rPr>
            </w:pPr>
          </w:p>
          <w:p w:rsidR="00D107F2" w:rsidRDefault="00D107F2">
            <w:pPr>
              <w:rPr>
                <w:sz w:val="20"/>
                <w:szCs w:val="20"/>
              </w:rPr>
            </w:pPr>
          </w:p>
          <w:p w:rsidR="000E0469" w:rsidRDefault="000E0469">
            <w:pPr>
              <w:rPr>
                <w:sz w:val="20"/>
                <w:szCs w:val="20"/>
              </w:rPr>
            </w:pPr>
            <w:r>
              <w:rPr>
                <w:sz w:val="20"/>
                <w:szCs w:val="20"/>
              </w:rPr>
              <w:t>Assume a C-Corp wanted to pay a shareholder a 1.00 dividend:</w:t>
            </w:r>
          </w:p>
          <w:p w:rsidR="006476E9" w:rsidRDefault="006476E9">
            <w:pPr>
              <w:rPr>
                <w:sz w:val="20"/>
                <w:szCs w:val="20"/>
              </w:rPr>
            </w:pPr>
          </w:p>
          <w:p w:rsidR="000E0469" w:rsidRDefault="000E0469">
            <w:pPr>
              <w:rPr>
                <w:sz w:val="20"/>
                <w:szCs w:val="20"/>
              </w:rPr>
            </w:pPr>
            <w:r>
              <w:rPr>
                <w:sz w:val="20"/>
                <w:szCs w:val="20"/>
              </w:rPr>
              <w:t xml:space="preserve">    </w:t>
            </w:r>
            <w:r w:rsidR="00AB12FF">
              <w:rPr>
                <w:sz w:val="20"/>
                <w:szCs w:val="20"/>
              </w:rPr>
              <w:t xml:space="preserve">  </w:t>
            </w:r>
            <w:r w:rsidR="0008257F">
              <w:rPr>
                <w:sz w:val="20"/>
                <w:szCs w:val="20"/>
              </w:rPr>
              <w:t xml:space="preserve">    </w:t>
            </w:r>
            <w:r w:rsidRPr="006476E9">
              <w:rPr>
                <w:b/>
                <w:i/>
                <w:sz w:val="20"/>
                <w:szCs w:val="20"/>
              </w:rPr>
              <w:t>1.53</w:t>
            </w:r>
            <w:r>
              <w:rPr>
                <w:sz w:val="20"/>
                <w:szCs w:val="20"/>
              </w:rPr>
              <w:t xml:space="preserve"> – year-end </w:t>
            </w:r>
            <w:r w:rsidR="009157E0">
              <w:rPr>
                <w:sz w:val="20"/>
                <w:szCs w:val="20"/>
              </w:rPr>
              <w:t xml:space="preserve">company </w:t>
            </w:r>
            <w:r>
              <w:rPr>
                <w:sz w:val="20"/>
                <w:szCs w:val="20"/>
              </w:rPr>
              <w:t>profit needed</w:t>
            </w:r>
          </w:p>
          <w:p w:rsidR="000E0469" w:rsidRDefault="000E0469">
            <w:pPr>
              <w:rPr>
                <w:sz w:val="20"/>
                <w:szCs w:val="20"/>
              </w:rPr>
            </w:pPr>
            <w:r>
              <w:rPr>
                <w:sz w:val="20"/>
                <w:szCs w:val="20"/>
              </w:rPr>
              <w:t xml:space="preserve">    </w:t>
            </w:r>
            <w:r w:rsidR="0008257F">
              <w:rPr>
                <w:sz w:val="20"/>
                <w:szCs w:val="20"/>
              </w:rPr>
              <w:t xml:space="preserve">    </w:t>
            </w:r>
            <w:r w:rsidR="006476E9">
              <w:rPr>
                <w:sz w:val="20"/>
                <w:szCs w:val="20"/>
                <w:u w:val="single"/>
              </w:rPr>
              <w:t>(</w:t>
            </w:r>
            <w:r w:rsidRPr="00AB12FF">
              <w:rPr>
                <w:sz w:val="20"/>
                <w:szCs w:val="20"/>
                <w:u w:val="single"/>
              </w:rPr>
              <w:t>35%</w:t>
            </w:r>
            <w:r w:rsidR="006476E9">
              <w:rPr>
                <w:sz w:val="20"/>
                <w:szCs w:val="20"/>
                <w:u w:val="single"/>
              </w:rPr>
              <w:t>)</w:t>
            </w:r>
            <w:r>
              <w:rPr>
                <w:sz w:val="20"/>
                <w:szCs w:val="20"/>
              </w:rPr>
              <w:t xml:space="preserve"> - corporate tax</w:t>
            </w:r>
          </w:p>
          <w:p w:rsidR="000E0469" w:rsidRDefault="000E0469">
            <w:pPr>
              <w:rPr>
                <w:sz w:val="20"/>
                <w:szCs w:val="20"/>
              </w:rPr>
            </w:pPr>
            <w:r>
              <w:rPr>
                <w:sz w:val="20"/>
                <w:szCs w:val="20"/>
              </w:rPr>
              <w:t xml:space="preserve">    </w:t>
            </w:r>
            <w:r w:rsidR="0008257F">
              <w:rPr>
                <w:sz w:val="20"/>
                <w:szCs w:val="20"/>
              </w:rPr>
              <w:t xml:space="preserve">      </w:t>
            </w:r>
            <w:r>
              <w:rPr>
                <w:sz w:val="20"/>
                <w:szCs w:val="20"/>
              </w:rPr>
              <w:t>1.00 – ordinary dividend to shareholder</w:t>
            </w:r>
          </w:p>
          <w:p w:rsidR="000E0469" w:rsidRDefault="000E0469">
            <w:pPr>
              <w:rPr>
                <w:sz w:val="20"/>
                <w:szCs w:val="20"/>
              </w:rPr>
            </w:pPr>
            <w:r>
              <w:rPr>
                <w:sz w:val="20"/>
                <w:szCs w:val="20"/>
              </w:rPr>
              <w:t xml:space="preserve">   </w:t>
            </w:r>
            <w:r w:rsidR="006476E9">
              <w:rPr>
                <w:sz w:val="20"/>
                <w:szCs w:val="20"/>
              </w:rPr>
              <w:t xml:space="preserve"> </w:t>
            </w:r>
            <w:r>
              <w:rPr>
                <w:sz w:val="20"/>
                <w:szCs w:val="20"/>
              </w:rPr>
              <w:t xml:space="preserve"> </w:t>
            </w:r>
            <w:r w:rsidR="006476E9">
              <w:rPr>
                <w:sz w:val="20"/>
                <w:szCs w:val="20"/>
                <w:u w:val="single"/>
              </w:rPr>
              <w:t>(</w:t>
            </w:r>
            <w:r w:rsidRPr="000E0469">
              <w:rPr>
                <w:sz w:val="20"/>
                <w:szCs w:val="20"/>
                <w:u w:val="single"/>
              </w:rPr>
              <w:t>39.6%</w:t>
            </w:r>
            <w:r w:rsidR="006476E9">
              <w:rPr>
                <w:sz w:val="20"/>
                <w:szCs w:val="20"/>
                <w:u w:val="single"/>
              </w:rPr>
              <w:t>)</w:t>
            </w:r>
            <w:r w:rsidRPr="000E0469">
              <w:rPr>
                <w:sz w:val="20"/>
                <w:szCs w:val="20"/>
                <w:u w:val="single"/>
              </w:rPr>
              <w:t xml:space="preserve"> </w:t>
            </w:r>
            <w:r>
              <w:rPr>
                <w:sz w:val="20"/>
                <w:szCs w:val="20"/>
              </w:rPr>
              <w:t>- individual tax</w:t>
            </w:r>
          </w:p>
          <w:p w:rsidR="00BA2B5E" w:rsidRDefault="000E0469">
            <w:pPr>
              <w:rPr>
                <w:sz w:val="20"/>
                <w:szCs w:val="20"/>
              </w:rPr>
            </w:pPr>
            <w:r>
              <w:rPr>
                <w:sz w:val="20"/>
                <w:szCs w:val="20"/>
              </w:rPr>
              <w:t xml:space="preserve">    </w:t>
            </w:r>
            <w:r w:rsidR="0008257F">
              <w:rPr>
                <w:sz w:val="20"/>
                <w:szCs w:val="20"/>
              </w:rPr>
              <w:t xml:space="preserve">        </w:t>
            </w:r>
            <w:r>
              <w:rPr>
                <w:sz w:val="20"/>
                <w:szCs w:val="20"/>
              </w:rPr>
              <w:t>.59 – after-tax dividend to shareholder</w:t>
            </w:r>
          </w:p>
          <w:p w:rsidR="00BA2B5E" w:rsidRDefault="00BA2B5E">
            <w:pPr>
              <w:rPr>
                <w:sz w:val="20"/>
                <w:szCs w:val="20"/>
              </w:rPr>
            </w:pPr>
          </w:p>
          <w:p w:rsidR="002F6D6F" w:rsidRPr="002F6D6F" w:rsidRDefault="002F6D6F">
            <w:pPr>
              <w:rPr>
                <w:sz w:val="20"/>
                <w:szCs w:val="20"/>
              </w:rPr>
            </w:pPr>
          </w:p>
        </w:tc>
        <w:tc>
          <w:tcPr>
            <w:tcW w:w="5713" w:type="dxa"/>
          </w:tcPr>
          <w:p w:rsidR="008953F9" w:rsidRDefault="00605127" w:rsidP="006476E9">
            <w:pPr>
              <w:rPr>
                <w:sz w:val="20"/>
                <w:szCs w:val="20"/>
              </w:rPr>
            </w:pPr>
            <w:r>
              <w:rPr>
                <w:sz w:val="20"/>
                <w:szCs w:val="20"/>
              </w:rPr>
              <w:t xml:space="preserve">Creates a maximum 21% </w:t>
            </w:r>
            <w:r w:rsidR="006476E9">
              <w:rPr>
                <w:sz w:val="20"/>
                <w:szCs w:val="20"/>
              </w:rPr>
              <w:t>bracket</w:t>
            </w:r>
            <w:r w:rsidR="00E17CC5">
              <w:rPr>
                <w:sz w:val="20"/>
                <w:szCs w:val="20"/>
              </w:rPr>
              <w:t xml:space="preserve"> </w:t>
            </w:r>
            <w:r>
              <w:rPr>
                <w:sz w:val="20"/>
                <w:szCs w:val="20"/>
              </w:rPr>
              <w:t>that applies to all taxable income over 50,000</w:t>
            </w:r>
            <w:r w:rsidR="00D107F2">
              <w:rPr>
                <w:sz w:val="20"/>
                <w:szCs w:val="20"/>
              </w:rPr>
              <w:t xml:space="preserve"> (unlike most provisions in the Tax Act, this change has no sunset provision)</w:t>
            </w:r>
          </w:p>
          <w:p w:rsidR="006476E9" w:rsidRDefault="006476E9" w:rsidP="006476E9">
            <w:pPr>
              <w:rPr>
                <w:sz w:val="20"/>
                <w:szCs w:val="20"/>
              </w:rPr>
            </w:pPr>
          </w:p>
          <w:p w:rsidR="006476E9" w:rsidRDefault="009157E0" w:rsidP="006476E9">
            <w:pPr>
              <w:rPr>
                <w:sz w:val="20"/>
                <w:szCs w:val="20"/>
              </w:rPr>
            </w:pPr>
            <w:r>
              <w:rPr>
                <w:sz w:val="20"/>
                <w:szCs w:val="20"/>
              </w:rPr>
              <w:t>Same assumption</w:t>
            </w:r>
            <w:r w:rsidR="006476E9">
              <w:rPr>
                <w:sz w:val="20"/>
                <w:szCs w:val="20"/>
              </w:rPr>
              <w:t>:</w:t>
            </w:r>
          </w:p>
          <w:p w:rsidR="006476E9" w:rsidRDefault="006476E9" w:rsidP="006476E9">
            <w:pPr>
              <w:rPr>
                <w:sz w:val="20"/>
                <w:szCs w:val="20"/>
              </w:rPr>
            </w:pPr>
          </w:p>
          <w:p w:rsidR="006476E9" w:rsidRDefault="006476E9" w:rsidP="006476E9">
            <w:pPr>
              <w:rPr>
                <w:sz w:val="20"/>
                <w:szCs w:val="20"/>
              </w:rPr>
            </w:pPr>
            <w:r>
              <w:rPr>
                <w:sz w:val="20"/>
                <w:szCs w:val="20"/>
              </w:rPr>
              <w:t xml:space="preserve">          </w:t>
            </w:r>
            <w:r w:rsidRPr="006476E9">
              <w:rPr>
                <w:b/>
                <w:i/>
                <w:sz w:val="20"/>
                <w:szCs w:val="20"/>
              </w:rPr>
              <w:t>1.</w:t>
            </w:r>
            <w:r>
              <w:rPr>
                <w:b/>
                <w:i/>
                <w:sz w:val="20"/>
                <w:szCs w:val="20"/>
              </w:rPr>
              <w:t>26</w:t>
            </w:r>
            <w:r>
              <w:rPr>
                <w:sz w:val="20"/>
                <w:szCs w:val="20"/>
              </w:rPr>
              <w:t xml:space="preserve"> – year-end </w:t>
            </w:r>
            <w:r w:rsidR="009157E0">
              <w:rPr>
                <w:sz w:val="20"/>
                <w:szCs w:val="20"/>
              </w:rPr>
              <w:t xml:space="preserve">company </w:t>
            </w:r>
            <w:r>
              <w:rPr>
                <w:sz w:val="20"/>
                <w:szCs w:val="20"/>
              </w:rPr>
              <w:t>profit needed</w:t>
            </w:r>
          </w:p>
          <w:p w:rsidR="006476E9" w:rsidRDefault="006476E9" w:rsidP="006476E9">
            <w:pPr>
              <w:rPr>
                <w:sz w:val="20"/>
                <w:szCs w:val="20"/>
              </w:rPr>
            </w:pPr>
            <w:r>
              <w:rPr>
                <w:sz w:val="20"/>
                <w:szCs w:val="20"/>
              </w:rPr>
              <w:t xml:space="preserve">        </w:t>
            </w:r>
            <w:r>
              <w:rPr>
                <w:sz w:val="20"/>
                <w:szCs w:val="20"/>
                <w:u w:val="single"/>
              </w:rPr>
              <w:t>(21</w:t>
            </w:r>
            <w:r w:rsidRPr="00AB12FF">
              <w:rPr>
                <w:sz w:val="20"/>
                <w:szCs w:val="20"/>
                <w:u w:val="single"/>
              </w:rPr>
              <w:t>%</w:t>
            </w:r>
            <w:r>
              <w:rPr>
                <w:sz w:val="20"/>
                <w:szCs w:val="20"/>
                <w:u w:val="single"/>
              </w:rPr>
              <w:t>)</w:t>
            </w:r>
            <w:r>
              <w:rPr>
                <w:sz w:val="20"/>
                <w:szCs w:val="20"/>
              </w:rPr>
              <w:t xml:space="preserve"> - corporate tax</w:t>
            </w:r>
          </w:p>
          <w:p w:rsidR="006476E9" w:rsidRDefault="006476E9" w:rsidP="006476E9">
            <w:pPr>
              <w:rPr>
                <w:sz w:val="20"/>
                <w:szCs w:val="20"/>
              </w:rPr>
            </w:pPr>
            <w:r>
              <w:rPr>
                <w:sz w:val="20"/>
                <w:szCs w:val="20"/>
              </w:rPr>
              <w:t xml:space="preserve">          1.00 – ordinary dividend to shareholder</w:t>
            </w:r>
          </w:p>
          <w:p w:rsidR="006476E9" w:rsidRDefault="006476E9" w:rsidP="006476E9">
            <w:pPr>
              <w:rPr>
                <w:sz w:val="20"/>
                <w:szCs w:val="20"/>
              </w:rPr>
            </w:pPr>
            <w:r>
              <w:rPr>
                <w:sz w:val="20"/>
                <w:szCs w:val="20"/>
              </w:rPr>
              <w:t xml:space="preserve">  </w:t>
            </w:r>
            <w:r w:rsidR="009E4E57">
              <w:rPr>
                <w:sz w:val="20"/>
                <w:szCs w:val="20"/>
              </w:rPr>
              <w:t xml:space="preserve">   </w:t>
            </w:r>
            <w:r>
              <w:rPr>
                <w:sz w:val="20"/>
                <w:szCs w:val="20"/>
              </w:rPr>
              <w:t xml:space="preserve">   </w:t>
            </w:r>
            <w:r>
              <w:rPr>
                <w:sz w:val="20"/>
                <w:szCs w:val="20"/>
                <w:u w:val="single"/>
              </w:rPr>
              <w:t>(</w:t>
            </w:r>
            <w:r w:rsidRPr="000E0469">
              <w:rPr>
                <w:sz w:val="20"/>
                <w:szCs w:val="20"/>
                <w:u w:val="single"/>
              </w:rPr>
              <w:t>3</w:t>
            </w:r>
            <w:r w:rsidR="009E4E57">
              <w:rPr>
                <w:sz w:val="20"/>
                <w:szCs w:val="20"/>
                <w:u w:val="single"/>
              </w:rPr>
              <w:t>7</w:t>
            </w:r>
            <w:r w:rsidRPr="000E0469">
              <w:rPr>
                <w:sz w:val="20"/>
                <w:szCs w:val="20"/>
                <w:u w:val="single"/>
              </w:rPr>
              <w:t>%</w:t>
            </w:r>
            <w:r>
              <w:rPr>
                <w:sz w:val="20"/>
                <w:szCs w:val="20"/>
                <w:u w:val="single"/>
              </w:rPr>
              <w:t>)</w:t>
            </w:r>
            <w:r w:rsidRPr="000E0469">
              <w:rPr>
                <w:sz w:val="20"/>
                <w:szCs w:val="20"/>
                <w:u w:val="single"/>
              </w:rPr>
              <w:t xml:space="preserve"> </w:t>
            </w:r>
            <w:r>
              <w:rPr>
                <w:sz w:val="20"/>
                <w:szCs w:val="20"/>
              </w:rPr>
              <w:t>- individual tax</w:t>
            </w:r>
          </w:p>
          <w:p w:rsidR="006476E9" w:rsidRPr="002F6D6F" w:rsidRDefault="006476E9" w:rsidP="00BA2B5E">
            <w:pPr>
              <w:rPr>
                <w:sz w:val="20"/>
                <w:szCs w:val="20"/>
              </w:rPr>
            </w:pPr>
            <w:r>
              <w:rPr>
                <w:sz w:val="20"/>
                <w:szCs w:val="20"/>
              </w:rPr>
              <w:t xml:space="preserve">           </w:t>
            </w:r>
            <w:r w:rsidR="009E4E57">
              <w:rPr>
                <w:sz w:val="20"/>
                <w:szCs w:val="20"/>
              </w:rPr>
              <w:t xml:space="preserve"> </w:t>
            </w:r>
            <w:r>
              <w:rPr>
                <w:sz w:val="20"/>
                <w:szCs w:val="20"/>
              </w:rPr>
              <w:t xml:space="preserve"> .</w:t>
            </w:r>
            <w:r w:rsidR="009E4E57">
              <w:rPr>
                <w:sz w:val="20"/>
                <w:szCs w:val="20"/>
              </w:rPr>
              <w:t>63</w:t>
            </w:r>
            <w:r>
              <w:rPr>
                <w:sz w:val="20"/>
                <w:szCs w:val="20"/>
              </w:rPr>
              <w:t xml:space="preserve"> – after-tax dividend to shareholder</w:t>
            </w:r>
          </w:p>
        </w:tc>
      </w:tr>
      <w:tr w:rsidR="008953F9" w:rsidTr="00704FE8">
        <w:tc>
          <w:tcPr>
            <w:tcW w:w="2965" w:type="dxa"/>
            <w:vMerge/>
          </w:tcPr>
          <w:p w:rsidR="008953F9" w:rsidRPr="002F6D6F" w:rsidRDefault="008953F9">
            <w:pPr>
              <w:rPr>
                <w:b/>
                <w:i/>
                <w:sz w:val="20"/>
                <w:szCs w:val="20"/>
              </w:rPr>
            </w:pPr>
          </w:p>
        </w:tc>
        <w:tc>
          <w:tcPr>
            <w:tcW w:w="11425" w:type="dxa"/>
            <w:gridSpan w:val="2"/>
          </w:tcPr>
          <w:p w:rsidR="006476E9" w:rsidRPr="002F6D6F" w:rsidRDefault="006476E9" w:rsidP="006476E9">
            <w:pPr>
              <w:rPr>
                <w:i/>
                <w:sz w:val="20"/>
                <w:szCs w:val="20"/>
                <w:u w:val="single"/>
              </w:rPr>
            </w:pPr>
            <w:r w:rsidRPr="002F6D6F">
              <w:rPr>
                <w:i/>
                <w:sz w:val="20"/>
                <w:szCs w:val="20"/>
                <w:u w:val="single"/>
              </w:rPr>
              <w:t xml:space="preserve">Observations </w:t>
            </w:r>
          </w:p>
          <w:p w:rsidR="006476E9" w:rsidRDefault="006476E9" w:rsidP="006476E9">
            <w:pPr>
              <w:pStyle w:val="ListParagraph"/>
              <w:numPr>
                <w:ilvl w:val="0"/>
                <w:numId w:val="1"/>
              </w:numPr>
              <w:rPr>
                <w:sz w:val="20"/>
                <w:szCs w:val="20"/>
              </w:rPr>
            </w:pPr>
            <w:r>
              <w:rPr>
                <w:sz w:val="20"/>
                <w:szCs w:val="20"/>
              </w:rPr>
              <w:t>Businesses really don’t pay taxes – the levy is passed on to the consumer as a cost of doing business, thereby increasing the price of goods and services</w:t>
            </w:r>
            <w:r w:rsidR="007764E2">
              <w:rPr>
                <w:sz w:val="20"/>
                <w:szCs w:val="20"/>
              </w:rPr>
              <w:t>.</w:t>
            </w:r>
          </w:p>
          <w:p w:rsidR="00E17CC5" w:rsidRPr="00962444" w:rsidRDefault="006476E9" w:rsidP="006476E9">
            <w:pPr>
              <w:pStyle w:val="ListParagraph"/>
              <w:numPr>
                <w:ilvl w:val="0"/>
                <w:numId w:val="1"/>
              </w:numPr>
              <w:rPr>
                <w:sz w:val="20"/>
                <w:szCs w:val="20"/>
              </w:rPr>
            </w:pPr>
            <w:r w:rsidRPr="00962444">
              <w:rPr>
                <w:sz w:val="20"/>
                <w:szCs w:val="20"/>
              </w:rPr>
              <w:t xml:space="preserve">Because (in the example) the business doesn’t need to earn the additional </w:t>
            </w:r>
            <w:r w:rsidR="009E4E57" w:rsidRPr="00962444">
              <w:rPr>
                <w:sz w:val="20"/>
                <w:szCs w:val="20"/>
              </w:rPr>
              <w:t xml:space="preserve">27 cents to meet shareholder dividend expectations the difference will be reflected (at least partly) in a lower price to </w:t>
            </w:r>
            <w:proofErr w:type="gramStart"/>
            <w:r w:rsidR="009E4E57" w:rsidRPr="00962444">
              <w:rPr>
                <w:sz w:val="20"/>
                <w:szCs w:val="20"/>
              </w:rPr>
              <w:t>consumers</w:t>
            </w:r>
            <w:proofErr w:type="gramEnd"/>
            <w:r w:rsidR="009E4E57" w:rsidRPr="00962444">
              <w:rPr>
                <w:sz w:val="20"/>
                <w:szCs w:val="20"/>
              </w:rPr>
              <w:t xml:space="preserve"> as competitors are able to lower prices as well due to the reduced cost of doing business</w:t>
            </w:r>
            <w:r w:rsidR="007764E2" w:rsidRPr="00962444">
              <w:rPr>
                <w:sz w:val="20"/>
                <w:szCs w:val="20"/>
              </w:rPr>
              <w:t>.</w:t>
            </w:r>
          </w:p>
          <w:p w:rsidR="008953F9" w:rsidRPr="002F6D6F" w:rsidRDefault="008953F9" w:rsidP="00962444">
            <w:pPr>
              <w:rPr>
                <w:sz w:val="20"/>
                <w:szCs w:val="20"/>
              </w:rPr>
            </w:pPr>
          </w:p>
        </w:tc>
      </w:tr>
      <w:tr w:rsidR="008953F9" w:rsidTr="00704FE8">
        <w:tc>
          <w:tcPr>
            <w:tcW w:w="2965" w:type="dxa"/>
            <w:vMerge w:val="restart"/>
          </w:tcPr>
          <w:p w:rsidR="008953F9" w:rsidRPr="002F6D6F" w:rsidRDefault="008953F9">
            <w:pPr>
              <w:rPr>
                <w:b/>
                <w:i/>
                <w:sz w:val="20"/>
                <w:szCs w:val="20"/>
              </w:rPr>
            </w:pPr>
            <w:bookmarkStart w:id="2" w:name="_GoBack"/>
            <w:r w:rsidRPr="002F6D6F">
              <w:rPr>
                <w:b/>
                <w:i/>
                <w:sz w:val="20"/>
                <w:szCs w:val="20"/>
              </w:rPr>
              <w:t xml:space="preserve">Deduction for Pass-throughs </w:t>
            </w:r>
            <w:r w:rsidR="000E0469">
              <w:rPr>
                <w:i/>
                <w:sz w:val="20"/>
                <w:szCs w:val="20"/>
              </w:rPr>
              <w:t>(S-C</w:t>
            </w:r>
            <w:r w:rsidRPr="00704FE8">
              <w:rPr>
                <w:i/>
                <w:sz w:val="20"/>
                <w:szCs w:val="20"/>
              </w:rPr>
              <w:t>orps, partnerships &amp; sole proprietorships</w:t>
            </w:r>
            <w:r w:rsidR="009157E0">
              <w:rPr>
                <w:i/>
                <w:sz w:val="20"/>
                <w:szCs w:val="20"/>
              </w:rPr>
              <w:t xml:space="preserve"> and LLCs taxed as those business forms</w:t>
            </w:r>
            <w:proofErr w:type="gramStart"/>
            <w:r w:rsidRPr="00704FE8">
              <w:rPr>
                <w:i/>
                <w:sz w:val="20"/>
                <w:szCs w:val="20"/>
              </w:rPr>
              <w:t>)</w:t>
            </w:r>
            <w:r w:rsidRPr="002F6D6F">
              <w:rPr>
                <w:b/>
                <w:i/>
                <w:sz w:val="20"/>
                <w:szCs w:val="20"/>
              </w:rPr>
              <w:t xml:space="preserve">  </w:t>
            </w:r>
            <w:proofErr w:type="gramEnd"/>
          </w:p>
        </w:tc>
        <w:tc>
          <w:tcPr>
            <w:tcW w:w="5712" w:type="dxa"/>
          </w:tcPr>
          <w:p w:rsidR="008953F9" w:rsidRDefault="009E4E57">
            <w:pPr>
              <w:rPr>
                <w:sz w:val="20"/>
                <w:szCs w:val="20"/>
              </w:rPr>
            </w:pPr>
            <w:r>
              <w:rPr>
                <w:sz w:val="20"/>
                <w:szCs w:val="20"/>
              </w:rPr>
              <w:t xml:space="preserve">These business structures do not pay a business income tax.  Any profits each year </w:t>
            </w:r>
            <w:r w:rsidRPr="009157E0">
              <w:rPr>
                <w:i/>
                <w:sz w:val="20"/>
                <w:szCs w:val="20"/>
              </w:rPr>
              <w:t>“pass-through”</w:t>
            </w:r>
            <w:r>
              <w:rPr>
                <w:sz w:val="20"/>
                <w:szCs w:val="20"/>
              </w:rPr>
              <w:t xml:space="preserve"> the entity and are reported on the personal returns of the owners and taxed in their individual brackets.</w:t>
            </w:r>
          </w:p>
          <w:p w:rsidR="002F6D6F" w:rsidRDefault="002F6D6F">
            <w:pPr>
              <w:rPr>
                <w:sz w:val="20"/>
                <w:szCs w:val="20"/>
              </w:rPr>
            </w:pPr>
          </w:p>
          <w:p w:rsidR="002F6D6F" w:rsidRDefault="008D556F" w:rsidP="006476E9">
            <w:pPr>
              <w:rPr>
                <w:sz w:val="20"/>
                <w:szCs w:val="20"/>
              </w:rPr>
            </w:pPr>
            <w:r>
              <w:rPr>
                <w:sz w:val="20"/>
                <w:szCs w:val="20"/>
              </w:rPr>
              <w:t xml:space="preserve">Assume an owner in the highest personal bracket </w:t>
            </w:r>
            <w:r w:rsidR="009157E0">
              <w:rPr>
                <w:sz w:val="20"/>
                <w:szCs w:val="20"/>
              </w:rPr>
              <w:t>with</w:t>
            </w:r>
            <w:r>
              <w:rPr>
                <w:sz w:val="20"/>
                <w:szCs w:val="20"/>
              </w:rPr>
              <w:t xml:space="preserve"> 100,000 on the Schedule K:</w:t>
            </w:r>
          </w:p>
          <w:p w:rsidR="008D556F" w:rsidRDefault="008D556F" w:rsidP="006476E9">
            <w:pPr>
              <w:rPr>
                <w:sz w:val="20"/>
                <w:szCs w:val="20"/>
              </w:rPr>
            </w:pPr>
          </w:p>
          <w:p w:rsidR="008D556F" w:rsidRDefault="008D556F" w:rsidP="006476E9">
            <w:pPr>
              <w:rPr>
                <w:sz w:val="20"/>
                <w:szCs w:val="20"/>
              </w:rPr>
            </w:pPr>
            <w:r>
              <w:rPr>
                <w:sz w:val="20"/>
                <w:szCs w:val="20"/>
              </w:rPr>
              <w:t>100,000 – reported on the Schedule K</w:t>
            </w:r>
          </w:p>
          <w:p w:rsidR="008D556F" w:rsidRDefault="008D556F" w:rsidP="006476E9">
            <w:pPr>
              <w:rPr>
                <w:sz w:val="20"/>
                <w:szCs w:val="20"/>
              </w:rPr>
            </w:pPr>
            <w:r>
              <w:rPr>
                <w:sz w:val="20"/>
                <w:szCs w:val="20"/>
                <w:u w:val="single"/>
              </w:rPr>
              <w:t xml:space="preserve"> </w:t>
            </w:r>
            <w:r w:rsidRPr="008D556F">
              <w:rPr>
                <w:sz w:val="20"/>
                <w:szCs w:val="20"/>
                <w:u w:val="single"/>
              </w:rPr>
              <w:t>(39.6%)</w:t>
            </w:r>
            <w:r>
              <w:rPr>
                <w:sz w:val="20"/>
                <w:szCs w:val="20"/>
              </w:rPr>
              <w:t xml:space="preserve"> – income (a 3.8% ObamaCare tax may also be include</w:t>
            </w:r>
            <w:r w:rsidR="009157E0">
              <w:rPr>
                <w:sz w:val="20"/>
                <w:szCs w:val="20"/>
              </w:rPr>
              <w:t>d</w:t>
            </w:r>
            <w:r>
              <w:rPr>
                <w:sz w:val="20"/>
                <w:szCs w:val="20"/>
              </w:rPr>
              <w:t>)</w:t>
            </w:r>
          </w:p>
          <w:p w:rsidR="008D556F" w:rsidRDefault="008D556F" w:rsidP="006476E9">
            <w:pPr>
              <w:rPr>
                <w:sz w:val="20"/>
                <w:szCs w:val="20"/>
              </w:rPr>
            </w:pPr>
            <w:r>
              <w:rPr>
                <w:sz w:val="20"/>
                <w:szCs w:val="20"/>
              </w:rPr>
              <w:t xml:space="preserve">   59,400 – after-tax income</w:t>
            </w:r>
          </w:p>
          <w:p w:rsidR="008D556F" w:rsidRPr="006476E9" w:rsidRDefault="008D556F" w:rsidP="006476E9">
            <w:pPr>
              <w:rPr>
                <w:sz w:val="20"/>
                <w:szCs w:val="20"/>
              </w:rPr>
            </w:pPr>
          </w:p>
          <w:p w:rsidR="00627CE0" w:rsidRPr="002F6D6F" w:rsidRDefault="00627CE0">
            <w:pPr>
              <w:rPr>
                <w:sz w:val="20"/>
                <w:szCs w:val="20"/>
              </w:rPr>
            </w:pPr>
          </w:p>
        </w:tc>
        <w:tc>
          <w:tcPr>
            <w:tcW w:w="5713" w:type="dxa"/>
          </w:tcPr>
          <w:p w:rsidR="008953F9" w:rsidRDefault="009E4E57">
            <w:pPr>
              <w:rPr>
                <w:sz w:val="20"/>
                <w:szCs w:val="20"/>
              </w:rPr>
            </w:pPr>
            <w:r>
              <w:rPr>
                <w:sz w:val="20"/>
                <w:szCs w:val="20"/>
              </w:rPr>
              <w:t xml:space="preserve">In order to give pass-through business a tax break similar to the reduction of the corporate bracket to 21%, </w:t>
            </w:r>
            <w:r w:rsidR="007764E2" w:rsidRPr="00F2044E">
              <w:rPr>
                <w:i/>
                <w:sz w:val="20"/>
                <w:szCs w:val="20"/>
                <w:u w:val="single"/>
              </w:rPr>
              <w:t>an optimum deduction is allowed for 20% of business income</w:t>
            </w:r>
            <w:r w:rsidR="007764E2">
              <w:rPr>
                <w:sz w:val="20"/>
                <w:szCs w:val="20"/>
              </w:rPr>
              <w:t>.</w:t>
            </w:r>
          </w:p>
          <w:p w:rsidR="008D556F" w:rsidRDefault="008D556F">
            <w:pPr>
              <w:rPr>
                <w:sz w:val="20"/>
                <w:szCs w:val="20"/>
              </w:rPr>
            </w:pPr>
          </w:p>
          <w:p w:rsidR="008D556F" w:rsidRDefault="008D556F">
            <w:pPr>
              <w:rPr>
                <w:sz w:val="20"/>
                <w:szCs w:val="20"/>
              </w:rPr>
            </w:pPr>
            <w:r>
              <w:rPr>
                <w:sz w:val="20"/>
                <w:szCs w:val="20"/>
              </w:rPr>
              <w:t>Same assumptions</w:t>
            </w:r>
            <w:r w:rsidR="000008DF">
              <w:rPr>
                <w:sz w:val="20"/>
                <w:szCs w:val="20"/>
              </w:rPr>
              <w:t xml:space="preserve"> (best possible circumstances)</w:t>
            </w:r>
            <w:r>
              <w:rPr>
                <w:sz w:val="20"/>
                <w:szCs w:val="20"/>
              </w:rPr>
              <w:t>:</w:t>
            </w:r>
          </w:p>
          <w:p w:rsidR="008D556F" w:rsidRDefault="008D556F">
            <w:pPr>
              <w:rPr>
                <w:sz w:val="20"/>
                <w:szCs w:val="20"/>
              </w:rPr>
            </w:pPr>
          </w:p>
          <w:p w:rsidR="008D556F" w:rsidRDefault="008D556F" w:rsidP="008D556F">
            <w:pPr>
              <w:rPr>
                <w:sz w:val="20"/>
                <w:szCs w:val="20"/>
              </w:rPr>
            </w:pPr>
            <w:r>
              <w:rPr>
                <w:sz w:val="20"/>
                <w:szCs w:val="20"/>
              </w:rPr>
              <w:t>100,000 – reported on the Schedule K</w:t>
            </w:r>
          </w:p>
          <w:p w:rsidR="008D556F" w:rsidRDefault="008D556F" w:rsidP="008D556F">
            <w:pPr>
              <w:rPr>
                <w:sz w:val="20"/>
                <w:szCs w:val="20"/>
              </w:rPr>
            </w:pPr>
            <w:r w:rsidRPr="008D556F">
              <w:rPr>
                <w:sz w:val="20"/>
                <w:szCs w:val="20"/>
                <w:u w:val="single"/>
              </w:rPr>
              <w:t>(20,000</w:t>
            </w:r>
            <w:r>
              <w:rPr>
                <w:sz w:val="20"/>
                <w:szCs w:val="20"/>
              </w:rPr>
              <w:t xml:space="preserve">) – </w:t>
            </w:r>
            <w:proofErr w:type="gramStart"/>
            <w:r>
              <w:rPr>
                <w:sz w:val="20"/>
                <w:szCs w:val="20"/>
              </w:rPr>
              <w:t>maximum</w:t>
            </w:r>
            <w:proofErr w:type="gramEnd"/>
            <w:r>
              <w:rPr>
                <w:sz w:val="20"/>
                <w:szCs w:val="20"/>
              </w:rPr>
              <w:t xml:space="preserve"> deduction allowed</w:t>
            </w:r>
          </w:p>
          <w:p w:rsidR="008D556F" w:rsidRDefault="008D556F" w:rsidP="008D556F">
            <w:pPr>
              <w:rPr>
                <w:sz w:val="20"/>
                <w:szCs w:val="20"/>
              </w:rPr>
            </w:pPr>
            <w:r>
              <w:rPr>
                <w:sz w:val="20"/>
                <w:szCs w:val="20"/>
              </w:rPr>
              <w:t xml:space="preserve">   80,000 – taxable income from the business</w:t>
            </w:r>
          </w:p>
          <w:p w:rsidR="008D556F" w:rsidRDefault="008D556F" w:rsidP="008D556F">
            <w:pPr>
              <w:rPr>
                <w:sz w:val="20"/>
                <w:szCs w:val="20"/>
              </w:rPr>
            </w:pPr>
            <w:r>
              <w:rPr>
                <w:sz w:val="20"/>
                <w:szCs w:val="20"/>
                <w:u w:val="single"/>
              </w:rPr>
              <w:t xml:space="preserve">     </w:t>
            </w:r>
            <w:r w:rsidRPr="008D556F">
              <w:rPr>
                <w:sz w:val="20"/>
                <w:szCs w:val="20"/>
                <w:u w:val="single"/>
              </w:rPr>
              <w:t>(3</w:t>
            </w:r>
            <w:r>
              <w:rPr>
                <w:sz w:val="20"/>
                <w:szCs w:val="20"/>
                <w:u w:val="single"/>
              </w:rPr>
              <w:t>7</w:t>
            </w:r>
            <w:r w:rsidRPr="008D556F">
              <w:rPr>
                <w:sz w:val="20"/>
                <w:szCs w:val="20"/>
                <w:u w:val="single"/>
              </w:rPr>
              <w:t>%)</w:t>
            </w:r>
            <w:r>
              <w:rPr>
                <w:sz w:val="20"/>
                <w:szCs w:val="20"/>
              </w:rPr>
              <w:t xml:space="preserve"> – income (a 3.8% ObamaCare tax may also be include</w:t>
            </w:r>
            <w:r w:rsidR="00A05C77">
              <w:rPr>
                <w:sz w:val="20"/>
                <w:szCs w:val="20"/>
              </w:rPr>
              <w:t>d</w:t>
            </w:r>
            <w:r>
              <w:rPr>
                <w:sz w:val="20"/>
                <w:szCs w:val="20"/>
              </w:rPr>
              <w:t>)</w:t>
            </w:r>
          </w:p>
          <w:p w:rsidR="008D556F" w:rsidRDefault="008D556F" w:rsidP="008D556F">
            <w:pPr>
              <w:rPr>
                <w:sz w:val="20"/>
                <w:szCs w:val="20"/>
              </w:rPr>
            </w:pPr>
            <w:r>
              <w:rPr>
                <w:sz w:val="20"/>
                <w:szCs w:val="20"/>
              </w:rPr>
              <w:t xml:space="preserve">   50,400 – after-tax </w:t>
            </w:r>
            <w:r w:rsidR="009157E0">
              <w:rPr>
                <w:sz w:val="20"/>
                <w:szCs w:val="20"/>
              </w:rPr>
              <w:t xml:space="preserve">amt. </w:t>
            </w:r>
            <w:r>
              <w:rPr>
                <w:sz w:val="20"/>
                <w:szCs w:val="20"/>
              </w:rPr>
              <w:t>of the taxable income</w:t>
            </w:r>
          </w:p>
          <w:p w:rsidR="008D556F" w:rsidRDefault="008D556F" w:rsidP="008D556F">
            <w:pPr>
              <w:rPr>
                <w:sz w:val="20"/>
                <w:szCs w:val="20"/>
              </w:rPr>
            </w:pPr>
            <w:r>
              <w:rPr>
                <w:sz w:val="20"/>
                <w:szCs w:val="20"/>
              </w:rPr>
              <w:t xml:space="preserve">   </w:t>
            </w:r>
            <w:r w:rsidRPr="008D556F">
              <w:rPr>
                <w:sz w:val="20"/>
                <w:szCs w:val="20"/>
                <w:u w:val="single"/>
              </w:rPr>
              <w:t>20,000</w:t>
            </w:r>
            <w:r>
              <w:rPr>
                <w:sz w:val="20"/>
                <w:szCs w:val="20"/>
              </w:rPr>
              <w:t xml:space="preserve"> – portion not taxed due to the deduction</w:t>
            </w:r>
          </w:p>
          <w:p w:rsidR="00962444" w:rsidRDefault="008D556F" w:rsidP="008D556F">
            <w:pPr>
              <w:rPr>
                <w:sz w:val="20"/>
                <w:szCs w:val="20"/>
              </w:rPr>
            </w:pPr>
            <w:r>
              <w:rPr>
                <w:sz w:val="20"/>
                <w:szCs w:val="20"/>
              </w:rPr>
              <w:t xml:space="preserve">   70,400 – total after-tax income from the business</w:t>
            </w:r>
          </w:p>
          <w:p w:rsidR="008D556F" w:rsidRPr="002F6D6F" w:rsidRDefault="008D556F">
            <w:pPr>
              <w:rPr>
                <w:sz w:val="20"/>
                <w:szCs w:val="20"/>
              </w:rPr>
            </w:pPr>
          </w:p>
        </w:tc>
      </w:tr>
      <w:bookmarkEnd w:id="2"/>
      <w:tr w:rsidR="008953F9" w:rsidTr="00704FE8">
        <w:tc>
          <w:tcPr>
            <w:tcW w:w="2965" w:type="dxa"/>
            <w:vMerge/>
          </w:tcPr>
          <w:p w:rsidR="008953F9" w:rsidRPr="002F6D6F" w:rsidRDefault="008953F9">
            <w:pPr>
              <w:rPr>
                <w:b/>
                <w:i/>
                <w:sz w:val="20"/>
                <w:szCs w:val="20"/>
              </w:rPr>
            </w:pPr>
          </w:p>
        </w:tc>
        <w:tc>
          <w:tcPr>
            <w:tcW w:w="11425" w:type="dxa"/>
            <w:gridSpan w:val="2"/>
          </w:tcPr>
          <w:p w:rsidR="002F6D6F" w:rsidRPr="002F6D6F" w:rsidRDefault="002F6D6F" w:rsidP="002F6D6F">
            <w:pPr>
              <w:rPr>
                <w:i/>
                <w:sz w:val="20"/>
                <w:szCs w:val="20"/>
                <w:u w:val="single"/>
              </w:rPr>
            </w:pPr>
            <w:r w:rsidRPr="002F6D6F">
              <w:rPr>
                <w:i/>
                <w:sz w:val="20"/>
                <w:szCs w:val="20"/>
                <w:u w:val="single"/>
              </w:rPr>
              <w:t xml:space="preserve">Observations </w:t>
            </w:r>
          </w:p>
          <w:p w:rsidR="00BA2B5E" w:rsidRPr="000008DF" w:rsidRDefault="00F2044E" w:rsidP="00BA2B5E">
            <w:pPr>
              <w:pStyle w:val="ListParagraph"/>
              <w:numPr>
                <w:ilvl w:val="0"/>
                <w:numId w:val="11"/>
              </w:numPr>
              <w:autoSpaceDE w:val="0"/>
              <w:autoSpaceDN w:val="0"/>
              <w:adjustRightInd w:val="0"/>
              <w:rPr>
                <w:b/>
                <w:i/>
                <w:sz w:val="20"/>
                <w:szCs w:val="20"/>
              </w:rPr>
            </w:pPr>
            <w:r>
              <w:rPr>
                <w:rFonts w:cstheme="minorHAnsi"/>
                <w:sz w:val="20"/>
                <w:szCs w:val="20"/>
              </w:rPr>
              <w:t xml:space="preserve">The amount of the deduction hinges on </w:t>
            </w:r>
            <w:r w:rsidR="001077AB">
              <w:rPr>
                <w:rFonts w:cstheme="minorHAnsi"/>
                <w:sz w:val="20"/>
                <w:szCs w:val="20"/>
              </w:rPr>
              <w:t>a</w:t>
            </w:r>
            <w:r>
              <w:rPr>
                <w:rFonts w:cstheme="minorHAnsi"/>
                <w:sz w:val="20"/>
                <w:szCs w:val="20"/>
              </w:rPr>
              <w:t xml:space="preserve"> business owner’s “taxable income” prior to </w:t>
            </w:r>
            <w:r w:rsidR="001077AB">
              <w:rPr>
                <w:rFonts w:cstheme="minorHAnsi"/>
                <w:sz w:val="20"/>
                <w:szCs w:val="20"/>
              </w:rPr>
              <w:t>consideration</w:t>
            </w:r>
            <w:r>
              <w:rPr>
                <w:rFonts w:cstheme="minorHAnsi"/>
                <w:sz w:val="20"/>
                <w:szCs w:val="20"/>
              </w:rPr>
              <w:t xml:space="preserve"> of </w:t>
            </w:r>
            <w:r w:rsidR="001077AB">
              <w:rPr>
                <w:rFonts w:cstheme="minorHAnsi"/>
                <w:sz w:val="20"/>
                <w:szCs w:val="20"/>
              </w:rPr>
              <w:t xml:space="preserve">any </w:t>
            </w:r>
            <w:r>
              <w:rPr>
                <w:rFonts w:cstheme="minorHAnsi"/>
                <w:sz w:val="20"/>
                <w:szCs w:val="20"/>
              </w:rPr>
              <w:t>pass-through deduction allowed – the calculation for a partial deduction is a convoluted process requiring the assistance of a tax advisor</w:t>
            </w:r>
            <w:r w:rsidR="00BA2B5E" w:rsidRPr="007E1B54">
              <w:rPr>
                <w:rFonts w:cstheme="minorHAnsi"/>
                <w:sz w:val="20"/>
                <w:szCs w:val="20"/>
              </w:rPr>
              <w:t>.</w:t>
            </w:r>
          </w:p>
          <w:p w:rsidR="000008DF" w:rsidRPr="007E1B54" w:rsidRDefault="000008DF" w:rsidP="00BA2B5E">
            <w:pPr>
              <w:pStyle w:val="ListParagraph"/>
              <w:numPr>
                <w:ilvl w:val="0"/>
                <w:numId w:val="11"/>
              </w:numPr>
              <w:autoSpaceDE w:val="0"/>
              <w:autoSpaceDN w:val="0"/>
              <w:adjustRightInd w:val="0"/>
              <w:rPr>
                <w:b/>
                <w:i/>
                <w:sz w:val="20"/>
                <w:szCs w:val="20"/>
              </w:rPr>
            </w:pPr>
            <w:r>
              <w:rPr>
                <w:rFonts w:cstheme="minorHAnsi"/>
                <w:sz w:val="20"/>
                <w:szCs w:val="20"/>
              </w:rPr>
              <w:t xml:space="preserve">In determining how much of the 20% deduction is available pass-through businesses are divided into two categories: 1) </w:t>
            </w:r>
            <w:r w:rsidR="00830644" w:rsidRPr="00830644">
              <w:rPr>
                <w:rFonts w:cstheme="minorHAnsi"/>
                <w:b/>
                <w:i/>
                <w:sz w:val="20"/>
                <w:szCs w:val="20"/>
              </w:rPr>
              <w:t>Specified Service Trades or Busines</w:t>
            </w:r>
            <w:r w:rsidR="001077AB">
              <w:rPr>
                <w:rFonts w:cstheme="minorHAnsi"/>
                <w:b/>
                <w:i/>
                <w:sz w:val="20"/>
                <w:szCs w:val="20"/>
              </w:rPr>
              <w:t>se</w:t>
            </w:r>
            <w:r w:rsidR="00830644" w:rsidRPr="00830644">
              <w:rPr>
                <w:rFonts w:cstheme="minorHAnsi"/>
                <w:b/>
                <w:i/>
                <w:sz w:val="20"/>
                <w:szCs w:val="20"/>
              </w:rPr>
              <w:t>s</w:t>
            </w:r>
            <w:r w:rsidR="00830644">
              <w:rPr>
                <w:rFonts w:cstheme="minorHAnsi"/>
                <w:sz w:val="20"/>
                <w:szCs w:val="20"/>
              </w:rPr>
              <w:t xml:space="preserve"> – enterprises where the principal asset is the reputation or skill of one or more of its employees - e.g. services in the fields of health, law, accounting, actuarial, performing arts, consulting, athletics, investments</w:t>
            </w:r>
            <w:r w:rsidR="00F40019">
              <w:rPr>
                <w:rFonts w:cstheme="minorHAnsi"/>
                <w:sz w:val="20"/>
                <w:szCs w:val="20"/>
              </w:rPr>
              <w:t xml:space="preserve">, </w:t>
            </w:r>
            <w:r w:rsidR="00830644">
              <w:rPr>
                <w:rFonts w:cstheme="minorHAnsi"/>
                <w:sz w:val="20"/>
                <w:szCs w:val="20"/>
              </w:rPr>
              <w:t xml:space="preserve">but </w:t>
            </w:r>
            <w:r w:rsidR="00830644" w:rsidRPr="00F40019">
              <w:rPr>
                <w:rFonts w:cstheme="minorHAnsi"/>
                <w:i/>
                <w:sz w:val="20"/>
                <w:szCs w:val="20"/>
                <w:u w:val="single"/>
              </w:rPr>
              <w:t>not</w:t>
            </w:r>
            <w:r w:rsidR="00830644">
              <w:rPr>
                <w:rFonts w:cstheme="minorHAnsi"/>
                <w:sz w:val="20"/>
                <w:szCs w:val="20"/>
              </w:rPr>
              <w:t xml:space="preserve"> engineering or architecture – go figure!  </w:t>
            </w:r>
            <w:r w:rsidR="00F40019">
              <w:rPr>
                <w:rFonts w:cstheme="minorHAnsi"/>
                <w:sz w:val="20"/>
                <w:szCs w:val="20"/>
              </w:rPr>
              <w:t>Although not mentioned, many feel th</w:t>
            </w:r>
            <w:r w:rsidR="005E4FEA">
              <w:rPr>
                <w:rFonts w:cstheme="minorHAnsi"/>
                <w:sz w:val="20"/>
                <w:szCs w:val="20"/>
              </w:rPr>
              <w:t>at</w:t>
            </w:r>
            <w:r w:rsidR="00F40019">
              <w:rPr>
                <w:rFonts w:cstheme="minorHAnsi"/>
                <w:sz w:val="20"/>
                <w:szCs w:val="20"/>
              </w:rPr>
              <w:t xml:space="preserve"> insurance advisors or agencies will be considered a specified service trade or business</w:t>
            </w:r>
            <w:proofErr w:type="gramStart"/>
            <w:r w:rsidR="00F40019">
              <w:rPr>
                <w:rFonts w:cstheme="minorHAnsi"/>
                <w:sz w:val="20"/>
                <w:szCs w:val="20"/>
              </w:rPr>
              <w:t>;</w:t>
            </w:r>
            <w:proofErr w:type="gramEnd"/>
            <w:r w:rsidR="00F40019">
              <w:rPr>
                <w:rFonts w:cstheme="minorHAnsi"/>
                <w:sz w:val="20"/>
                <w:szCs w:val="20"/>
              </w:rPr>
              <w:t xml:space="preserve"> </w:t>
            </w:r>
            <w:r w:rsidR="00830644">
              <w:rPr>
                <w:rFonts w:cstheme="minorHAnsi"/>
                <w:sz w:val="20"/>
                <w:szCs w:val="20"/>
              </w:rPr>
              <w:t xml:space="preserve">2) </w:t>
            </w:r>
            <w:r w:rsidR="00830644" w:rsidRPr="008743B7">
              <w:rPr>
                <w:rFonts w:cstheme="minorHAnsi"/>
                <w:b/>
                <w:i/>
                <w:sz w:val="20"/>
                <w:szCs w:val="20"/>
              </w:rPr>
              <w:t>Nonservice Businesses</w:t>
            </w:r>
            <w:r w:rsidR="00830644">
              <w:rPr>
                <w:rFonts w:cstheme="minorHAnsi"/>
                <w:sz w:val="20"/>
                <w:szCs w:val="20"/>
              </w:rPr>
              <w:t xml:space="preserve"> – e.g. manufacturing, retail sales</w:t>
            </w:r>
            <w:r w:rsidR="00067A50">
              <w:rPr>
                <w:rFonts w:cstheme="minorHAnsi"/>
                <w:sz w:val="20"/>
                <w:szCs w:val="20"/>
              </w:rPr>
              <w:t>.</w:t>
            </w:r>
          </w:p>
          <w:p w:rsidR="008953F9" w:rsidRDefault="008953F9" w:rsidP="00962444">
            <w:pPr>
              <w:rPr>
                <w:sz w:val="20"/>
                <w:szCs w:val="20"/>
              </w:rPr>
            </w:pPr>
          </w:p>
          <w:p w:rsidR="001077AB" w:rsidRPr="001077AB" w:rsidRDefault="001077AB" w:rsidP="001077AB">
            <w:pPr>
              <w:pStyle w:val="ListParagraph"/>
              <w:rPr>
                <w:sz w:val="20"/>
                <w:szCs w:val="20"/>
              </w:rPr>
            </w:pPr>
          </w:p>
          <w:p w:rsidR="007C062B" w:rsidRPr="00067A50" w:rsidRDefault="00274222" w:rsidP="007C062B">
            <w:pPr>
              <w:pStyle w:val="ListParagraph"/>
              <w:numPr>
                <w:ilvl w:val="0"/>
                <w:numId w:val="11"/>
              </w:numPr>
              <w:rPr>
                <w:sz w:val="20"/>
                <w:szCs w:val="20"/>
              </w:rPr>
            </w:pPr>
            <w:r>
              <w:rPr>
                <w:sz w:val="20"/>
                <w:szCs w:val="20"/>
              </w:rPr>
              <w:t>Other than</w:t>
            </w:r>
            <w:r w:rsidR="00067A50" w:rsidRPr="00067A50">
              <w:rPr>
                <w:sz w:val="20"/>
                <w:szCs w:val="20"/>
              </w:rPr>
              <w:t xml:space="preserve"> th</w:t>
            </w:r>
            <w:r w:rsidR="001077AB">
              <w:rPr>
                <w:sz w:val="20"/>
                <w:szCs w:val="20"/>
              </w:rPr>
              <w:t>is</w:t>
            </w:r>
            <w:r w:rsidR="00067A50" w:rsidRPr="00067A50">
              <w:rPr>
                <w:sz w:val="20"/>
                <w:szCs w:val="20"/>
              </w:rPr>
              <w:t xml:space="preserve"> summary an explanation of the calculation of the available deduction will not be attempted here.</w:t>
            </w:r>
          </w:p>
          <w:p w:rsidR="007C062B" w:rsidRDefault="007C062B" w:rsidP="007C062B">
            <w:pPr>
              <w:rPr>
                <w:sz w:val="20"/>
                <w:szCs w:val="20"/>
              </w:rPr>
            </w:pPr>
          </w:p>
          <w:tbl>
            <w:tblPr>
              <w:tblStyle w:val="TableGrid"/>
              <w:tblW w:w="0" w:type="auto"/>
              <w:tblInd w:w="517" w:type="dxa"/>
              <w:tblLook w:val="04A0" w:firstRow="1" w:lastRow="0" w:firstColumn="1" w:lastColumn="0" w:noHBand="0" w:noVBand="1"/>
            </w:tblPr>
            <w:tblGrid>
              <w:gridCol w:w="3510"/>
              <w:gridCol w:w="3150"/>
              <w:gridCol w:w="3150"/>
            </w:tblGrid>
            <w:tr w:rsidR="007C062B" w:rsidTr="00067A50">
              <w:tc>
                <w:tcPr>
                  <w:tcW w:w="3510" w:type="dxa"/>
                </w:tcPr>
                <w:p w:rsidR="007C062B" w:rsidRPr="008140BD" w:rsidRDefault="007C062B" w:rsidP="007C062B">
                  <w:pPr>
                    <w:rPr>
                      <w:b/>
                      <w:i/>
                      <w:sz w:val="18"/>
                      <w:szCs w:val="18"/>
                    </w:rPr>
                  </w:pPr>
                  <w:r w:rsidRPr="008140BD">
                    <w:rPr>
                      <w:b/>
                      <w:i/>
                      <w:sz w:val="18"/>
                      <w:szCs w:val="18"/>
                    </w:rPr>
                    <w:t>Pass-through Owner’s Taxable Income</w:t>
                  </w:r>
                </w:p>
              </w:tc>
              <w:tc>
                <w:tcPr>
                  <w:tcW w:w="3150" w:type="dxa"/>
                </w:tcPr>
                <w:p w:rsidR="007C062B" w:rsidRPr="008140BD" w:rsidRDefault="007C062B" w:rsidP="007C062B">
                  <w:pPr>
                    <w:rPr>
                      <w:b/>
                      <w:i/>
                      <w:sz w:val="18"/>
                      <w:szCs w:val="18"/>
                    </w:rPr>
                  </w:pPr>
                  <w:r w:rsidRPr="008140BD">
                    <w:rPr>
                      <w:b/>
                      <w:i/>
                      <w:sz w:val="18"/>
                      <w:szCs w:val="18"/>
                    </w:rPr>
                    <w:t>Specified Service Trade or Business</w:t>
                  </w:r>
                </w:p>
              </w:tc>
              <w:tc>
                <w:tcPr>
                  <w:tcW w:w="3150" w:type="dxa"/>
                </w:tcPr>
                <w:p w:rsidR="007C062B" w:rsidRPr="008140BD" w:rsidRDefault="007C062B" w:rsidP="007C062B">
                  <w:pPr>
                    <w:rPr>
                      <w:b/>
                      <w:i/>
                      <w:sz w:val="18"/>
                      <w:szCs w:val="18"/>
                    </w:rPr>
                  </w:pPr>
                  <w:r w:rsidRPr="008140BD">
                    <w:rPr>
                      <w:b/>
                      <w:i/>
                      <w:sz w:val="18"/>
                      <w:szCs w:val="18"/>
                    </w:rPr>
                    <w:t>Nonservice Businesses</w:t>
                  </w:r>
                </w:p>
              </w:tc>
            </w:tr>
            <w:tr w:rsidR="007C062B" w:rsidTr="00067A50">
              <w:tc>
                <w:tcPr>
                  <w:tcW w:w="3510" w:type="dxa"/>
                </w:tcPr>
                <w:p w:rsidR="007C062B" w:rsidRPr="008140BD" w:rsidRDefault="007C062B" w:rsidP="007C062B">
                  <w:pPr>
                    <w:rPr>
                      <w:sz w:val="18"/>
                      <w:szCs w:val="18"/>
                    </w:rPr>
                  </w:pPr>
                  <w:r w:rsidRPr="008140BD">
                    <w:rPr>
                      <w:sz w:val="18"/>
                      <w:szCs w:val="18"/>
                    </w:rPr>
                    <w:t>Below threshold levels</w:t>
                  </w:r>
                </w:p>
                <w:p w:rsidR="00067A50" w:rsidRPr="008140BD" w:rsidRDefault="00067A50" w:rsidP="007C062B">
                  <w:pPr>
                    <w:rPr>
                      <w:sz w:val="18"/>
                      <w:szCs w:val="18"/>
                    </w:rPr>
                  </w:pPr>
                </w:p>
              </w:tc>
              <w:tc>
                <w:tcPr>
                  <w:tcW w:w="3150" w:type="dxa"/>
                </w:tcPr>
                <w:p w:rsidR="007C062B" w:rsidRPr="008140BD" w:rsidRDefault="00067A50" w:rsidP="007C062B">
                  <w:pPr>
                    <w:rPr>
                      <w:sz w:val="18"/>
                      <w:szCs w:val="18"/>
                    </w:rPr>
                  </w:pPr>
                  <w:r w:rsidRPr="008140BD">
                    <w:rPr>
                      <w:sz w:val="18"/>
                      <w:szCs w:val="18"/>
                    </w:rPr>
                    <w:t>Full 20% deduction</w:t>
                  </w:r>
                </w:p>
              </w:tc>
              <w:tc>
                <w:tcPr>
                  <w:tcW w:w="3150" w:type="dxa"/>
                </w:tcPr>
                <w:p w:rsidR="007C062B" w:rsidRPr="008140BD" w:rsidRDefault="00067A50" w:rsidP="007C062B">
                  <w:pPr>
                    <w:rPr>
                      <w:sz w:val="18"/>
                      <w:szCs w:val="18"/>
                    </w:rPr>
                  </w:pPr>
                  <w:r w:rsidRPr="008140BD">
                    <w:rPr>
                      <w:sz w:val="18"/>
                      <w:szCs w:val="18"/>
                    </w:rPr>
                    <w:t>Full 20% deduction</w:t>
                  </w:r>
                </w:p>
              </w:tc>
            </w:tr>
            <w:tr w:rsidR="007C062B" w:rsidTr="00067A50">
              <w:tc>
                <w:tcPr>
                  <w:tcW w:w="3510" w:type="dxa"/>
                </w:tcPr>
                <w:p w:rsidR="007C062B" w:rsidRPr="008140BD" w:rsidRDefault="007C062B" w:rsidP="007C062B">
                  <w:pPr>
                    <w:rPr>
                      <w:sz w:val="18"/>
                      <w:szCs w:val="18"/>
                    </w:rPr>
                  </w:pPr>
                  <w:r w:rsidRPr="008140BD">
                    <w:rPr>
                      <w:sz w:val="18"/>
                      <w:szCs w:val="18"/>
                    </w:rPr>
                    <w:t>Within phase-out range:</w:t>
                  </w:r>
                </w:p>
                <w:p w:rsidR="007C062B" w:rsidRPr="008140BD" w:rsidRDefault="007C062B" w:rsidP="007C062B">
                  <w:pPr>
                    <w:rPr>
                      <w:sz w:val="18"/>
                      <w:szCs w:val="18"/>
                    </w:rPr>
                  </w:pPr>
                  <w:r w:rsidRPr="008140BD">
                    <w:rPr>
                      <w:sz w:val="18"/>
                      <w:szCs w:val="18"/>
                    </w:rPr>
                    <w:t xml:space="preserve">    Filing singly – $157,500 - $207,500</w:t>
                  </w:r>
                </w:p>
                <w:p w:rsidR="007C062B" w:rsidRPr="008140BD" w:rsidRDefault="007C062B" w:rsidP="007C062B">
                  <w:pPr>
                    <w:rPr>
                      <w:sz w:val="18"/>
                      <w:szCs w:val="18"/>
                    </w:rPr>
                  </w:pPr>
                  <w:r w:rsidRPr="008140BD">
                    <w:rPr>
                      <w:sz w:val="18"/>
                      <w:szCs w:val="18"/>
                    </w:rPr>
                    <w:t xml:space="preserve">    Filing jointly - $315,000 - $415,000</w:t>
                  </w:r>
                </w:p>
              </w:tc>
              <w:tc>
                <w:tcPr>
                  <w:tcW w:w="3150" w:type="dxa"/>
                </w:tcPr>
                <w:p w:rsidR="007C062B" w:rsidRPr="008140BD" w:rsidRDefault="00067A50" w:rsidP="007C062B">
                  <w:pPr>
                    <w:rPr>
                      <w:sz w:val="18"/>
                      <w:szCs w:val="18"/>
                    </w:rPr>
                  </w:pPr>
                  <w:r w:rsidRPr="008140BD">
                    <w:rPr>
                      <w:sz w:val="18"/>
                      <w:szCs w:val="18"/>
                    </w:rPr>
                    <w:t>Deduction is subject to both a reduction and a phase-out of that reduced amount</w:t>
                  </w:r>
                </w:p>
              </w:tc>
              <w:tc>
                <w:tcPr>
                  <w:tcW w:w="3150" w:type="dxa"/>
                </w:tcPr>
                <w:p w:rsidR="007C062B" w:rsidRPr="008140BD" w:rsidRDefault="00067A50" w:rsidP="007C062B">
                  <w:pPr>
                    <w:rPr>
                      <w:sz w:val="18"/>
                      <w:szCs w:val="18"/>
                    </w:rPr>
                  </w:pPr>
                  <w:r w:rsidRPr="008140BD">
                    <w:rPr>
                      <w:sz w:val="18"/>
                      <w:szCs w:val="18"/>
                    </w:rPr>
                    <w:t>Deduction is subject to a phase-out</w:t>
                  </w:r>
                </w:p>
              </w:tc>
            </w:tr>
            <w:tr w:rsidR="007C062B" w:rsidTr="00067A50">
              <w:tc>
                <w:tcPr>
                  <w:tcW w:w="3510" w:type="dxa"/>
                </w:tcPr>
                <w:p w:rsidR="007C062B" w:rsidRPr="008140BD" w:rsidRDefault="007C062B" w:rsidP="007C062B">
                  <w:pPr>
                    <w:rPr>
                      <w:sz w:val="18"/>
                      <w:szCs w:val="18"/>
                    </w:rPr>
                  </w:pPr>
                  <w:r w:rsidRPr="008140BD">
                    <w:rPr>
                      <w:sz w:val="18"/>
                      <w:szCs w:val="18"/>
                    </w:rPr>
                    <w:t>Above threshold levels</w:t>
                  </w:r>
                </w:p>
              </w:tc>
              <w:tc>
                <w:tcPr>
                  <w:tcW w:w="3150" w:type="dxa"/>
                </w:tcPr>
                <w:p w:rsidR="007C062B" w:rsidRPr="008140BD" w:rsidRDefault="00067A50" w:rsidP="007C062B">
                  <w:pPr>
                    <w:rPr>
                      <w:sz w:val="18"/>
                      <w:szCs w:val="18"/>
                    </w:rPr>
                  </w:pPr>
                  <w:r w:rsidRPr="008140BD">
                    <w:rPr>
                      <w:sz w:val="18"/>
                      <w:szCs w:val="18"/>
                    </w:rPr>
                    <w:t>No deduction</w:t>
                  </w:r>
                </w:p>
              </w:tc>
              <w:tc>
                <w:tcPr>
                  <w:tcW w:w="3150" w:type="dxa"/>
                </w:tcPr>
                <w:p w:rsidR="007C062B" w:rsidRPr="008140BD" w:rsidRDefault="00067A50" w:rsidP="007C062B">
                  <w:pPr>
                    <w:rPr>
                      <w:sz w:val="18"/>
                      <w:szCs w:val="18"/>
                    </w:rPr>
                  </w:pPr>
                  <w:r w:rsidRPr="008140BD">
                    <w:rPr>
                      <w:sz w:val="18"/>
                      <w:szCs w:val="18"/>
                    </w:rPr>
                    <w:t>Despite phase-out a portion of the deduction may still be available</w:t>
                  </w:r>
                </w:p>
              </w:tc>
            </w:tr>
          </w:tbl>
          <w:p w:rsidR="007C062B" w:rsidRDefault="007C062B" w:rsidP="00962444">
            <w:pPr>
              <w:rPr>
                <w:sz w:val="20"/>
                <w:szCs w:val="20"/>
              </w:rPr>
            </w:pPr>
          </w:p>
          <w:p w:rsidR="007C062B" w:rsidRPr="002F6D6F" w:rsidRDefault="007C062B" w:rsidP="00962444">
            <w:pPr>
              <w:rPr>
                <w:sz w:val="20"/>
                <w:szCs w:val="20"/>
              </w:rPr>
            </w:pPr>
          </w:p>
        </w:tc>
      </w:tr>
      <w:tr w:rsidR="000E17C3" w:rsidTr="003C44A7">
        <w:tc>
          <w:tcPr>
            <w:tcW w:w="14390" w:type="dxa"/>
            <w:gridSpan w:val="3"/>
          </w:tcPr>
          <w:p w:rsidR="000E17C3" w:rsidRDefault="000E17C3" w:rsidP="000E17C3">
            <w:pPr>
              <w:jc w:val="center"/>
              <w:rPr>
                <w:b/>
                <w:i/>
              </w:rPr>
            </w:pPr>
            <w:r w:rsidRPr="002F6D6F">
              <w:rPr>
                <w:b/>
                <w:i/>
              </w:rPr>
              <w:lastRenderedPageBreak/>
              <w:t>Transfer Tax (Estate, Gift &amp; Generation-skipping)</w:t>
            </w:r>
          </w:p>
          <w:p w:rsidR="00A803E3" w:rsidRPr="002F6D6F" w:rsidRDefault="00A803E3" w:rsidP="000E17C3">
            <w:pPr>
              <w:jc w:val="center"/>
              <w:rPr>
                <w:b/>
                <w:i/>
              </w:rPr>
            </w:pPr>
          </w:p>
        </w:tc>
      </w:tr>
      <w:tr w:rsidR="008953F9" w:rsidRPr="002F6D6F" w:rsidTr="00704FE8">
        <w:tc>
          <w:tcPr>
            <w:tcW w:w="2965" w:type="dxa"/>
            <w:vMerge w:val="restart"/>
          </w:tcPr>
          <w:p w:rsidR="008953F9" w:rsidRDefault="008953F9">
            <w:pPr>
              <w:rPr>
                <w:b/>
                <w:i/>
                <w:sz w:val="20"/>
                <w:szCs w:val="20"/>
              </w:rPr>
            </w:pPr>
            <w:r w:rsidRPr="002F6D6F">
              <w:rPr>
                <w:b/>
                <w:i/>
                <w:sz w:val="20"/>
                <w:szCs w:val="20"/>
              </w:rPr>
              <w:t>Lifetime Exemption</w:t>
            </w:r>
          </w:p>
          <w:p w:rsidR="008D556F" w:rsidRDefault="008D556F">
            <w:pPr>
              <w:rPr>
                <w:b/>
                <w:i/>
                <w:sz w:val="20"/>
                <w:szCs w:val="20"/>
              </w:rPr>
            </w:pPr>
          </w:p>
          <w:p w:rsidR="008D556F" w:rsidRPr="008D556F" w:rsidRDefault="008D556F">
            <w:pPr>
              <w:rPr>
                <w:sz w:val="20"/>
                <w:szCs w:val="20"/>
              </w:rPr>
            </w:pPr>
            <w:r>
              <w:rPr>
                <w:sz w:val="20"/>
                <w:szCs w:val="20"/>
              </w:rPr>
              <w:t>The amount a taxpayer can gift or leave to heirs over his/her lifetime without gift or estate or generation-skipping tax.</w:t>
            </w:r>
          </w:p>
        </w:tc>
        <w:tc>
          <w:tcPr>
            <w:tcW w:w="5712" w:type="dxa"/>
          </w:tcPr>
          <w:p w:rsidR="008953F9" w:rsidRDefault="0073053D">
            <w:pPr>
              <w:rPr>
                <w:sz w:val="20"/>
                <w:szCs w:val="20"/>
              </w:rPr>
            </w:pPr>
            <w:r>
              <w:rPr>
                <w:sz w:val="20"/>
                <w:szCs w:val="20"/>
              </w:rPr>
              <w:t>5,490,000 per taxpayer indexed</w:t>
            </w:r>
          </w:p>
          <w:p w:rsidR="00D627C9" w:rsidRDefault="00D627C9">
            <w:pPr>
              <w:rPr>
                <w:sz w:val="20"/>
                <w:szCs w:val="20"/>
              </w:rPr>
            </w:pPr>
            <w:r>
              <w:rPr>
                <w:sz w:val="20"/>
                <w:szCs w:val="20"/>
              </w:rPr>
              <w:t>10,980,000 per married couple (with proper planning)</w:t>
            </w:r>
            <w:r w:rsidR="00647F1F">
              <w:rPr>
                <w:sz w:val="20"/>
                <w:szCs w:val="20"/>
              </w:rPr>
              <w:t xml:space="preserve"> indexed</w:t>
            </w:r>
          </w:p>
          <w:p w:rsidR="002F6D6F" w:rsidRDefault="002F6D6F">
            <w:pPr>
              <w:rPr>
                <w:sz w:val="20"/>
                <w:szCs w:val="20"/>
              </w:rPr>
            </w:pPr>
          </w:p>
          <w:p w:rsidR="002F6D6F" w:rsidRDefault="002F6D6F">
            <w:pPr>
              <w:rPr>
                <w:sz w:val="20"/>
                <w:szCs w:val="20"/>
              </w:rPr>
            </w:pPr>
          </w:p>
          <w:p w:rsidR="00627CE0" w:rsidRPr="002F6D6F" w:rsidRDefault="00627CE0">
            <w:pPr>
              <w:rPr>
                <w:sz w:val="20"/>
                <w:szCs w:val="20"/>
              </w:rPr>
            </w:pPr>
          </w:p>
        </w:tc>
        <w:tc>
          <w:tcPr>
            <w:tcW w:w="5713" w:type="dxa"/>
          </w:tcPr>
          <w:p w:rsidR="008953F9" w:rsidRDefault="00E17CC5">
            <w:pPr>
              <w:rPr>
                <w:b/>
                <w:i/>
                <w:sz w:val="20"/>
                <w:szCs w:val="20"/>
              </w:rPr>
            </w:pPr>
            <w:r>
              <w:rPr>
                <w:sz w:val="20"/>
                <w:szCs w:val="20"/>
              </w:rPr>
              <w:t xml:space="preserve">11,200,000 per taxpayer indexed </w:t>
            </w:r>
            <w:r w:rsidR="00410DE4" w:rsidRPr="00410DE4">
              <w:rPr>
                <w:b/>
                <w:i/>
                <w:sz w:val="20"/>
                <w:szCs w:val="20"/>
              </w:rPr>
              <w:t>till 1/1/26, then 2017 levels</w:t>
            </w:r>
          </w:p>
          <w:p w:rsidR="00410DE4" w:rsidRPr="00410DE4" w:rsidRDefault="00410DE4">
            <w:pPr>
              <w:rPr>
                <w:sz w:val="20"/>
                <w:szCs w:val="20"/>
              </w:rPr>
            </w:pPr>
            <w:r>
              <w:rPr>
                <w:sz w:val="20"/>
                <w:szCs w:val="20"/>
              </w:rPr>
              <w:t xml:space="preserve">    (</w:t>
            </w:r>
            <w:proofErr w:type="gramStart"/>
            <w:r>
              <w:rPr>
                <w:sz w:val="20"/>
                <w:szCs w:val="20"/>
              </w:rPr>
              <w:t>the</w:t>
            </w:r>
            <w:proofErr w:type="gramEnd"/>
            <w:r>
              <w:rPr>
                <w:sz w:val="20"/>
                <w:szCs w:val="20"/>
              </w:rPr>
              <w:t xml:space="preserve"> expiration is a “Sunset” provision – see below)</w:t>
            </w:r>
          </w:p>
          <w:p w:rsidR="00D627C9" w:rsidRPr="002F6D6F" w:rsidRDefault="00D627C9">
            <w:pPr>
              <w:rPr>
                <w:sz w:val="20"/>
                <w:szCs w:val="20"/>
              </w:rPr>
            </w:pPr>
            <w:r>
              <w:rPr>
                <w:sz w:val="20"/>
                <w:szCs w:val="20"/>
              </w:rPr>
              <w:t>22,400,000 per married couple (with proper planning)</w:t>
            </w:r>
            <w:r w:rsidR="00647F1F">
              <w:rPr>
                <w:sz w:val="20"/>
                <w:szCs w:val="20"/>
              </w:rPr>
              <w:t xml:space="preserve"> indexed</w:t>
            </w:r>
          </w:p>
        </w:tc>
      </w:tr>
      <w:tr w:rsidR="008953F9" w:rsidRPr="002F6D6F" w:rsidTr="00704FE8">
        <w:tc>
          <w:tcPr>
            <w:tcW w:w="2965" w:type="dxa"/>
            <w:vMerge/>
          </w:tcPr>
          <w:p w:rsidR="008953F9" w:rsidRPr="002F6D6F" w:rsidRDefault="008953F9">
            <w:pPr>
              <w:rPr>
                <w:b/>
                <w:i/>
                <w:sz w:val="20"/>
                <w:szCs w:val="20"/>
              </w:rPr>
            </w:pPr>
          </w:p>
        </w:tc>
        <w:tc>
          <w:tcPr>
            <w:tcW w:w="11425" w:type="dxa"/>
            <w:gridSpan w:val="2"/>
          </w:tcPr>
          <w:p w:rsidR="008953F9" w:rsidRDefault="002F6D6F" w:rsidP="00962444">
            <w:pPr>
              <w:rPr>
                <w:sz w:val="20"/>
                <w:szCs w:val="20"/>
              </w:rPr>
            </w:pPr>
            <w:r w:rsidRPr="002F6D6F">
              <w:rPr>
                <w:i/>
                <w:sz w:val="20"/>
                <w:szCs w:val="20"/>
                <w:u w:val="single"/>
              </w:rPr>
              <w:t xml:space="preserve">Observations </w:t>
            </w:r>
          </w:p>
          <w:p w:rsidR="00962444" w:rsidRPr="002F6D6F" w:rsidRDefault="007E1B54" w:rsidP="00067A50">
            <w:pPr>
              <w:pStyle w:val="ListParagraph"/>
              <w:numPr>
                <w:ilvl w:val="0"/>
                <w:numId w:val="15"/>
              </w:numPr>
              <w:rPr>
                <w:sz w:val="20"/>
                <w:szCs w:val="20"/>
              </w:rPr>
            </w:pPr>
            <w:r>
              <w:rPr>
                <w:sz w:val="20"/>
                <w:szCs w:val="20"/>
              </w:rPr>
              <w:t xml:space="preserve">State death taxes may still apply and the exemption </w:t>
            </w:r>
            <w:proofErr w:type="gramStart"/>
            <w:r>
              <w:rPr>
                <w:sz w:val="20"/>
                <w:szCs w:val="20"/>
              </w:rPr>
              <w:t>increase are</w:t>
            </w:r>
            <w:proofErr w:type="gramEnd"/>
            <w:r>
              <w:rPr>
                <w:sz w:val="20"/>
                <w:szCs w:val="20"/>
              </w:rPr>
              <w:t xml:space="preserve"> only good for 7 years (see next).</w:t>
            </w:r>
          </w:p>
        </w:tc>
      </w:tr>
      <w:tr w:rsidR="00067A50" w:rsidRPr="002F6D6F" w:rsidTr="00DC4FD8">
        <w:tc>
          <w:tcPr>
            <w:tcW w:w="2965" w:type="dxa"/>
            <w:vMerge w:val="restart"/>
          </w:tcPr>
          <w:p w:rsidR="00067A50" w:rsidRPr="002F6D6F" w:rsidRDefault="00067A50">
            <w:pPr>
              <w:rPr>
                <w:b/>
                <w:i/>
                <w:sz w:val="20"/>
                <w:szCs w:val="20"/>
              </w:rPr>
            </w:pPr>
            <w:r>
              <w:rPr>
                <w:b/>
                <w:i/>
                <w:sz w:val="20"/>
                <w:szCs w:val="20"/>
              </w:rPr>
              <w:t>“</w:t>
            </w:r>
            <w:r w:rsidRPr="002F6D6F">
              <w:rPr>
                <w:b/>
                <w:i/>
                <w:sz w:val="20"/>
                <w:szCs w:val="20"/>
              </w:rPr>
              <w:t>Sunset</w:t>
            </w:r>
            <w:r>
              <w:rPr>
                <w:b/>
                <w:i/>
                <w:sz w:val="20"/>
                <w:szCs w:val="20"/>
              </w:rPr>
              <w:t>”</w:t>
            </w:r>
            <w:r w:rsidRPr="002F6D6F">
              <w:rPr>
                <w:b/>
                <w:i/>
                <w:sz w:val="20"/>
                <w:szCs w:val="20"/>
              </w:rPr>
              <w:t xml:space="preserve"> makes a difference</w:t>
            </w:r>
          </w:p>
        </w:tc>
        <w:tc>
          <w:tcPr>
            <w:tcW w:w="11425" w:type="dxa"/>
            <w:gridSpan w:val="2"/>
          </w:tcPr>
          <w:p w:rsidR="00067A50" w:rsidRDefault="00067A50">
            <w:pPr>
              <w:rPr>
                <w:sz w:val="20"/>
                <w:szCs w:val="20"/>
              </w:rPr>
            </w:pPr>
            <w:r>
              <w:rPr>
                <w:sz w:val="20"/>
                <w:szCs w:val="20"/>
              </w:rPr>
              <w:t>If the law remains unchanged and the exemption amount has increased by 2%/year (higher than past experience) the following would be the future exemptions amounts:</w:t>
            </w:r>
          </w:p>
          <w:p w:rsidR="00067A50" w:rsidRDefault="00067A50">
            <w:pPr>
              <w:rPr>
                <w:sz w:val="20"/>
                <w:szCs w:val="20"/>
              </w:rPr>
            </w:pPr>
          </w:p>
          <w:tbl>
            <w:tblPr>
              <w:tblStyle w:val="TableGrid"/>
              <w:tblW w:w="0" w:type="auto"/>
              <w:tblInd w:w="1147" w:type="dxa"/>
              <w:tblLook w:val="04A0" w:firstRow="1" w:lastRow="0" w:firstColumn="1" w:lastColumn="0" w:noHBand="0" w:noVBand="1"/>
            </w:tblPr>
            <w:tblGrid>
              <w:gridCol w:w="4452"/>
              <w:gridCol w:w="4458"/>
            </w:tblGrid>
            <w:tr w:rsidR="008140BD" w:rsidTr="008140BD">
              <w:tc>
                <w:tcPr>
                  <w:tcW w:w="4452" w:type="dxa"/>
                </w:tcPr>
                <w:p w:rsidR="008140BD" w:rsidRPr="008140BD" w:rsidRDefault="008140BD" w:rsidP="008140BD">
                  <w:pPr>
                    <w:jc w:val="center"/>
                    <w:rPr>
                      <w:b/>
                      <w:i/>
                      <w:sz w:val="18"/>
                      <w:szCs w:val="18"/>
                    </w:rPr>
                  </w:pPr>
                  <w:r w:rsidRPr="008140BD">
                    <w:rPr>
                      <w:b/>
                      <w:i/>
                      <w:sz w:val="18"/>
                      <w:szCs w:val="18"/>
                    </w:rPr>
                    <w:t>If taxpayer(s) only live for 7 years</w:t>
                  </w:r>
                </w:p>
              </w:tc>
              <w:tc>
                <w:tcPr>
                  <w:tcW w:w="4458" w:type="dxa"/>
                </w:tcPr>
                <w:p w:rsidR="008140BD" w:rsidRPr="008140BD" w:rsidRDefault="008140BD" w:rsidP="008140BD">
                  <w:pPr>
                    <w:jc w:val="center"/>
                    <w:rPr>
                      <w:b/>
                      <w:i/>
                      <w:sz w:val="18"/>
                      <w:szCs w:val="18"/>
                    </w:rPr>
                  </w:pPr>
                  <w:r w:rsidRPr="008140BD">
                    <w:rPr>
                      <w:b/>
                      <w:i/>
                      <w:sz w:val="18"/>
                      <w:szCs w:val="18"/>
                    </w:rPr>
                    <w:t>If taxpayer(s) live for more than 7 years</w:t>
                  </w:r>
                </w:p>
              </w:tc>
            </w:tr>
            <w:tr w:rsidR="008140BD" w:rsidTr="008140BD">
              <w:tc>
                <w:tcPr>
                  <w:tcW w:w="4452" w:type="dxa"/>
                </w:tcPr>
                <w:p w:rsidR="008140BD" w:rsidRPr="008140BD" w:rsidRDefault="008140BD" w:rsidP="008140BD">
                  <w:pPr>
                    <w:rPr>
                      <w:sz w:val="18"/>
                      <w:szCs w:val="18"/>
                    </w:rPr>
                  </w:pPr>
                  <w:r w:rsidRPr="008140BD">
                    <w:rPr>
                      <w:sz w:val="18"/>
                      <w:szCs w:val="18"/>
                    </w:rPr>
                    <w:t>Until 12/31/2025</w:t>
                  </w:r>
                </w:p>
                <w:p w:rsidR="008140BD" w:rsidRPr="008140BD" w:rsidRDefault="008140BD" w:rsidP="008140BD">
                  <w:pPr>
                    <w:rPr>
                      <w:sz w:val="18"/>
                      <w:szCs w:val="18"/>
                    </w:rPr>
                  </w:pPr>
                  <w:r w:rsidRPr="008140BD">
                    <w:rPr>
                      <w:sz w:val="18"/>
                      <w:szCs w:val="18"/>
                    </w:rPr>
                    <w:t xml:space="preserve">    12,870,000 per taxpayer</w:t>
                  </w:r>
                </w:p>
                <w:p w:rsidR="008140BD" w:rsidRPr="008140BD" w:rsidRDefault="008140BD" w:rsidP="008140BD">
                  <w:pPr>
                    <w:rPr>
                      <w:sz w:val="18"/>
                      <w:szCs w:val="18"/>
                    </w:rPr>
                  </w:pPr>
                  <w:r w:rsidRPr="008140BD">
                    <w:rPr>
                      <w:sz w:val="18"/>
                      <w:szCs w:val="18"/>
                    </w:rPr>
                    <w:t xml:space="preserve">    25,740,000 per married couple (with proper planning)</w:t>
                  </w:r>
                </w:p>
                <w:p w:rsidR="008140BD" w:rsidRPr="008140BD" w:rsidRDefault="008140BD">
                  <w:pPr>
                    <w:rPr>
                      <w:sz w:val="18"/>
                      <w:szCs w:val="18"/>
                    </w:rPr>
                  </w:pPr>
                </w:p>
              </w:tc>
              <w:tc>
                <w:tcPr>
                  <w:tcW w:w="4458" w:type="dxa"/>
                </w:tcPr>
                <w:p w:rsidR="008140BD" w:rsidRPr="008140BD" w:rsidRDefault="008140BD" w:rsidP="008140BD">
                  <w:pPr>
                    <w:rPr>
                      <w:sz w:val="18"/>
                      <w:szCs w:val="18"/>
                    </w:rPr>
                  </w:pPr>
                  <w:r w:rsidRPr="008140BD">
                    <w:rPr>
                      <w:sz w:val="18"/>
                      <w:szCs w:val="18"/>
                    </w:rPr>
                    <w:t>On or after 1/1/2026</w:t>
                  </w:r>
                </w:p>
                <w:p w:rsidR="008140BD" w:rsidRPr="008140BD" w:rsidRDefault="008140BD" w:rsidP="008140BD">
                  <w:pPr>
                    <w:rPr>
                      <w:sz w:val="18"/>
                      <w:szCs w:val="18"/>
                    </w:rPr>
                  </w:pPr>
                  <w:r w:rsidRPr="008140BD">
                    <w:rPr>
                      <w:sz w:val="18"/>
                      <w:szCs w:val="18"/>
                    </w:rPr>
                    <w:t xml:space="preserve">    6,560,000 per taxpayer</w:t>
                  </w:r>
                </w:p>
                <w:p w:rsidR="008140BD" w:rsidRPr="008140BD" w:rsidRDefault="008140BD" w:rsidP="008140BD">
                  <w:pPr>
                    <w:rPr>
                      <w:sz w:val="18"/>
                      <w:szCs w:val="18"/>
                    </w:rPr>
                  </w:pPr>
                  <w:r w:rsidRPr="008140BD">
                    <w:rPr>
                      <w:sz w:val="18"/>
                      <w:szCs w:val="18"/>
                    </w:rPr>
                    <w:t xml:space="preserve">    13,120,000 per married couple (with proper planning)</w:t>
                  </w:r>
                </w:p>
                <w:p w:rsidR="008140BD" w:rsidRPr="008140BD" w:rsidRDefault="008140BD">
                  <w:pPr>
                    <w:rPr>
                      <w:sz w:val="18"/>
                      <w:szCs w:val="18"/>
                    </w:rPr>
                  </w:pPr>
                </w:p>
              </w:tc>
            </w:tr>
          </w:tbl>
          <w:p w:rsidR="00067A50" w:rsidRDefault="00067A50" w:rsidP="008140BD">
            <w:pPr>
              <w:rPr>
                <w:sz w:val="20"/>
                <w:szCs w:val="20"/>
              </w:rPr>
            </w:pPr>
          </w:p>
          <w:p w:rsidR="008140BD" w:rsidRPr="002F6D6F" w:rsidRDefault="008140BD" w:rsidP="008140BD">
            <w:pPr>
              <w:rPr>
                <w:sz w:val="20"/>
                <w:szCs w:val="20"/>
              </w:rPr>
            </w:pPr>
          </w:p>
        </w:tc>
      </w:tr>
      <w:tr w:rsidR="00C04F0C" w:rsidRPr="002F6D6F" w:rsidTr="00704FE8">
        <w:tc>
          <w:tcPr>
            <w:tcW w:w="2965" w:type="dxa"/>
            <w:vMerge/>
          </w:tcPr>
          <w:p w:rsidR="00C04F0C" w:rsidRPr="002F6D6F" w:rsidRDefault="00C04F0C">
            <w:pPr>
              <w:rPr>
                <w:b/>
                <w:i/>
                <w:sz w:val="20"/>
                <w:szCs w:val="20"/>
              </w:rPr>
            </w:pPr>
          </w:p>
        </w:tc>
        <w:tc>
          <w:tcPr>
            <w:tcW w:w="11425" w:type="dxa"/>
            <w:gridSpan w:val="2"/>
          </w:tcPr>
          <w:p w:rsidR="00C04F0C" w:rsidRPr="002F6D6F" w:rsidRDefault="00C04F0C" w:rsidP="002F6D6F">
            <w:pPr>
              <w:rPr>
                <w:i/>
                <w:sz w:val="20"/>
                <w:szCs w:val="20"/>
                <w:u w:val="single"/>
              </w:rPr>
            </w:pPr>
            <w:r w:rsidRPr="002F6D6F">
              <w:rPr>
                <w:i/>
                <w:sz w:val="20"/>
                <w:szCs w:val="20"/>
                <w:u w:val="single"/>
              </w:rPr>
              <w:t xml:space="preserve">Observations </w:t>
            </w:r>
          </w:p>
          <w:p w:rsidR="00764F91" w:rsidRPr="002F6D6F" w:rsidRDefault="00A05C77" w:rsidP="007C062B">
            <w:pPr>
              <w:pStyle w:val="ListParagraph"/>
              <w:numPr>
                <w:ilvl w:val="0"/>
                <w:numId w:val="10"/>
              </w:numPr>
              <w:rPr>
                <w:sz w:val="20"/>
                <w:szCs w:val="20"/>
              </w:rPr>
            </w:pPr>
            <w:r>
              <w:rPr>
                <w:sz w:val="20"/>
                <w:szCs w:val="20"/>
              </w:rPr>
              <w:t xml:space="preserve">If a tax revision is not deemed revenue neutral then it must have an expiration date (or “Sunset” provision).  Most changes in the Tax Cuts and Jobs Act of 2017 have </w:t>
            </w:r>
            <w:r w:rsidR="00647F1F">
              <w:rPr>
                <w:sz w:val="20"/>
                <w:szCs w:val="20"/>
              </w:rPr>
              <w:t xml:space="preserve">a </w:t>
            </w:r>
            <w:r>
              <w:rPr>
                <w:sz w:val="20"/>
                <w:szCs w:val="20"/>
              </w:rPr>
              <w:t>sunset provision.  One exception is the reduction of the top corporate bracket to 21%.</w:t>
            </w:r>
          </w:p>
        </w:tc>
      </w:tr>
      <w:tr w:rsidR="00410DE4" w:rsidRPr="002F6D6F" w:rsidTr="00704FE8">
        <w:tc>
          <w:tcPr>
            <w:tcW w:w="2965" w:type="dxa"/>
          </w:tcPr>
          <w:p w:rsidR="00410DE4" w:rsidRDefault="00410DE4" w:rsidP="00410DE4">
            <w:pPr>
              <w:rPr>
                <w:b/>
                <w:i/>
                <w:sz w:val="20"/>
                <w:szCs w:val="20"/>
              </w:rPr>
            </w:pPr>
            <w:r>
              <w:rPr>
                <w:b/>
                <w:i/>
                <w:sz w:val="20"/>
                <w:szCs w:val="20"/>
              </w:rPr>
              <w:t>Stepped-up Basis in Inherited Property</w:t>
            </w:r>
          </w:p>
          <w:p w:rsidR="00410DE4" w:rsidRPr="002F6D6F" w:rsidRDefault="00410DE4" w:rsidP="00410DE4">
            <w:pPr>
              <w:rPr>
                <w:b/>
                <w:i/>
                <w:sz w:val="20"/>
                <w:szCs w:val="20"/>
              </w:rPr>
            </w:pPr>
          </w:p>
        </w:tc>
        <w:tc>
          <w:tcPr>
            <w:tcW w:w="5712" w:type="dxa"/>
          </w:tcPr>
          <w:p w:rsidR="00410DE4" w:rsidRDefault="00410DE4" w:rsidP="00410DE4">
            <w:pPr>
              <w:rPr>
                <w:sz w:val="20"/>
                <w:szCs w:val="20"/>
              </w:rPr>
            </w:pPr>
            <w:r>
              <w:rPr>
                <w:sz w:val="20"/>
                <w:szCs w:val="20"/>
              </w:rPr>
              <w:t>Heirs have an income tax basis in inherited property equal to the FMV at the time of death</w:t>
            </w:r>
          </w:p>
          <w:p w:rsidR="00410DE4" w:rsidRPr="007E1B54" w:rsidRDefault="00410DE4" w:rsidP="00410DE4">
            <w:pPr>
              <w:rPr>
                <w:sz w:val="18"/>
                <w:szCs w:val="18"/>
              </w:rPr>
            </w:pPr>
          </w:p>
          <w:p w:rsidR="00410DE4" w:rsidRDefault="00410DE4" w:rsidP="00067A50">
            <w:pPr>
              <w:rPr>
                <w:sz w:val="20"/>
                <w:szCs w:val="20"/>
              </w:rPr>
            </w:pPr>
          </w:p>
        </w:tc>
        <w:tc>
          <w:tcPr>
            <w:tcW w:w="5713" w:type="dxa"/>
          </w:tcPr>
          <w:p w:rsidR="00410DE4" w:rsidRDefault="00410DE4" w:rsidP="00410DE4">
            <w:pPr>
              <w:rPr>
                <w:sz w:val="20"/>
                <w:szCs w:val="20"/>
              </w:rPr>
            </w:pPr>
            <w:r>
              <w:rPr>
                <w:sz w:val="20"/>
                <w:szCs w:val="20"/>
              </w:rPr>
              <w:t>Unchanged</w:t>
            </w:r>
          </w:p>
          <w:p w:rsidR="00067A50" w:rsidRDefault="00067A50" w:rsidP="00410DE4">
            <w:pPr>
              <w:rPr>
                <w:sz w:val="20"/>
                <w:szCs w:val="20"/>
              </w:rPr>
            </w:pPr>
          </w:p>
          <w:p w:rsidR="00067A50" w:rsidRPr="007E1B54" w:rsidRDefault="008140BD" w:rsidP="00067A50">
            <w:pPr>
              <w:rPr>
                <w:sz w:val="18"/>
                <w:szCs w:val="18"/>
              </w:rPr>
            </w:pPr>
            <w:r>
              <w:rPr>
                <w:sz w:val="18"/>
                <w:szCs w:val="18"/>
              </w:rPr>
              <w:t xml:space="preserve">    </w:t>
            </w:r>
            <w:r w:rsidR="00067A50" w:rsidRPr="007E1B54">
              <w:rPr>
                <w:sz w:val="18"/>
                <w:szCs w:val="18"/>
              </w:rPr>
              <w:t>Example:</w:t>
            </w:r>
          </w:p>
          <w:p w:rsidR="00067A50" w:rsidRPr="007E1B54" w:rsidRDefault="008140BD" w:rsidP="00067A50">
            <w:pPr>
              <w:rPr>
                <w:sz w:val="18"/>
                <w:szCs w:val="18"/>
              </w:rPr>
            </w:pPr>
            <w:r>
              <w:rPr>
                <w:sz w:val="18"/>
                <w:szCs w:val="18"/>
              </w:rPr>
              <w:t xml:space="preserve">        </w:t>
            </w:r>
            <w:r w:rsidR="00067A50" w:rsidRPr="007E1B54">
              <w:rPr>
                <w:sz w:val="18"/>
                <w:szCs w:val="18"/>
              </w:rPr>
              <w:t>Parent buys a share of stock in 1980 for $5.00.</w:t>
            </w:r>
          </w:p>
          <w:p w:rsidR="00067A50" w:rsidRPr="007E1B54" w:rsidRDefault="008140BD" w:rsidP="00067A50">
            <w:pPr>
              <w:rPr>
                <w:sz w:val="18"/>
                <w:szCs w:val="18"/>
              </w:rPr>
            </w:pPr>
            <w:r>
              <w:rPr>
                <w:sz w:val="18"/>
                <w:szCs w:val="18"/>
              </w:rPr>
              <w:t xml:space="preserve">        </w:t>
            </w:r>
            <w:r w:rsidR="00067A50" w:rsidRPr="007E1B54">
              <w:rPr>
                <w:sz w:val="18"/>
                <w:szCs w:val="18"/>
              </w:rPr>
              <w:t>In 2018 it is worth $1,005.00.</w:t>
            </w:r>
          </w:p>
          <w:p w:rsidR="00067A50" w:rsidRPr="007E1B54" w:rsidRDefault="008140BD" w:rsidP="00067A50">
            <w:pPr>
              <w:rPr>
                <w:sz w:val="18"/>
                <w:szCs w:val="18"/>
              </w:rPr>
            </w:pPr>
            <w:r>
              <w:rPr>
                <w:sz w:val="18"/>
                <w:szCs w:val="18"/>
              </w:rPr>
              <w:t xml:space="preserve">        </w:t>
            </w:r>
            <w:r w:rsidR="00067A50" w:rsidRPr="007E1B54">
              <w:rPr>
                <w:sz w:val="18"/>
                <w:szCs w:val="18"/>
              </w:rPr>
              <w:t>If sold the parent owes capital gains tax on $1,000.</w:t>
            </w:r>
          </w:p>
          <w:p w:rsidR="00067A50" w:rsidRPr="007E1B54" w:rsidRDefault="00067A50" w:rsidP="00067A50">
            <w:pPr>
              <w:rPr>
                <w:sz w:val="18"/>
                <w:szCs w:val="18"/>
              </w:rPr>
            </w:pPr>
          </w:p>
          <w:p w:rsidR="00067A50" w:rsidRPr="007E1B54" w:rsidRDefault="008140BD" w:rsidP="00067A50">
            <w:pPr>
              <w:rPr>
                <w:sz w:val="18"/>
                <w:szCs w:val="18"/>
              </w:rPr>
            </w:pPr>
            <w:r>
              <w:rPr>
                <w:sz w:val="18"/>
                <w:szCs w:val="18"/>
              </w:rPr>
              <w:t xml:space="preserve">        </w:t>
            </w:r>
            <w:r w:rsidR="00067A50" w:rsidRPr="007E1B54">
              <w:rPr>
                <w:sz w:val="18"/>
                <w:szCs w:val="18"/>
              </w:rPr>
              <w:t>Instead parent dies and leaves the share to his child.</w:t>
            </w:r>
          </w:p>
          <w:p w:rsidR="00067A50" w:rsidRPr="007E1B54" w:rsidRDefault="008140BD" w:rsidP="00067A50">
            <w:pPr>
              <w:rPr>
                <w:sz w:val="18"/>
                <w:szCs w:val="18"/>
              </w:rPr>
            </w:pPr>
            <w:r>
              <w:rPr>
                <w:sz w:val="18"/>
                <w:szCs w:val="18"/>
              </w:rPr>
              <w:t xml:space="preserve">        </w:t>
            </w:r>
            <w:r w:rsidR="00067A50" w:rsidRPr="007E1B54">
              <w:rPr>
                <w:sz w:val="18"/>
                <w:szCs w:val="18"/>
              </w:rPr>
              <w:t>Child’s basis is $1,005.00.</w:t>
            </w:r>
          </w:p>
          <w:p w:rsidR="00067A50" w:rsidRDefault="008140BD" w:rsidP="00067A50">
            <w:pPr>
              <w:rPr>
                <w:sz w:val="18"/>
                <w:szCs w:val="18"/>
              </w:rPr>
            </w:pPr>
            <w:r>
              <w:rPr>
                <w:sz w:val="18"/>
                <w:szCs w:val="18"/>
              </w:rPr>
              <w:t xml:space="preserve">        </w:t>
            </w:r>
            <w:r w:rsidR="00067A50" w:rsidRPr="007E1B54">
              <w:rPr>
                <w:sz w:val="18"/>
                <w:szCs w:val="18"/>
              </w:rPr>
              <w:t>If sold for that amount there is no gain and no tax.</w:t>
            </w:r>
          </w:p>
          <w:p w:rsidR="008140BD" w:rsidRPr="002F6D6F" w:rsidRDefault="008140BD" w:rsidP="00067A50">
            <w:pPr>
              <w:rPr>
                <w:sz w:val="20"/>
                <w:szCs w:val="20"/>
              </w:rPr>
            </w:pPr>
          </w:p>
        </w:tc>
      </w:tr>
    </w:tbl>
    <w:p w:rsidR="00410DE4" w:rsidRPr="00962444" w:rsidRDefault="00410DE4" w:rsidP="00067A50">
      <w:pPr>
        <w:rPr>
          <w:rFonts w:asciiTheme="majorHAnsi" w:hAnsiTheme="majorHAnsi" w:cstheme="majorHAnsi"/>
          <w:sz w:val="20"/>
          <w:szCs w:val="20"/>
        </w:rPr>
      </w:pPr>
    </w:p>
    <w:bookmarkEnd w:id="0"/>
    <w:bookmarkEnd w:id="1"/>
    <w:sectPr w:rsidR="00410DE4" w:rsidRPr="00962444" w:rsidSect="007E1B54">
      <w:pgSz w:w="15840" w:h="12240" w:orient="landscape"/>
      <w:pgMar w:top="576"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C3" w:rsidRDefault="006977C3" w:rsidP="007E1B54">
      <w:r>
        <w:separator/>
      </w:r>
    </w:p>
  </w:endnote>
  <w:endnote w:type="continuationSeparator" w:id="0">
    <w:p w:rsidR="006977C3" w:rsidRDefault="006977C3" w:rsidP="007E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C3" w:rsidRDefault="006977C3" w:rsidP="007E1B54">
      <w:r>
        <w:separator/>
      </w:r>
    </w:p>
  </w:footnote>
  <w:footnote w:type="continuationSeparator" w:id="0">
    <w:p w:rsidR="006977C3" w:rsidRDefault="006977C3" w:rsidP="007E1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C04"/>
    <w:multiLevelType w:val="hybridMultilevel"/>
    <w:tmpl w:val="DB328C12"/>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2B45"/>
    <w:multiLevelType w:val="hybridMultilevel"/>
    <w:tmpl w:val="66A0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D22D4"/>
    <w:multiLevelType w:val="hybridMultilevel"/>
    <w:tmpl w:val="99CCAAAA"/>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30A8"/>
    <w:multiLevelType w:val="hybridMultilevel"/>
    <w:tmpl w:val="9F7A8D90"/>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357AA"/>
    <w:multiLevelType w:val="hybridMultilevel"/>
    <w:tmpl w:val="BC1C3812"/>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7548D"/>
    <w:multiLevelType w:val="hybridMultilevel"/>
    <w:tmpl w:val="16F626DE"/>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1ACD53DD"/>
    <w:multiLevelType w:val="hybridMultilevel"/>
    <w:tmpl w:val="083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E2F94"/>
    <w:multiLevelType w:val="hybridMultilevel"/>
    <w:tmpl w:val="F92E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B356D"/>
    <w:multiLevelType w:val="hybridMultilevel"/>
    <w:tmpl w:val="AC6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71481"/>
    <w:multiLevelType w:val="hybridMultilevel"/>
    <w:tmpl w:val="249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F7932"/>
    <w:multiLevelType w:val="hybridMultilevel"/>
    <w:tmpl w:val="EC2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827FA"/>
    <w:multiLevelType w:val="hybridMultilevel"/>
    <w:tmpl w:val="81A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5690C"/>
    <w:multiLevelType w:val="hybridMultilevel"/>
    <w:tmpl w:val="F4B6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1618C"/>
    <w:multiLevelType w:val="hybridMultilevel"/>
    <w:tmpl w:val="105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F1B40"/>
    <w:multiLevelType w:val="hybridMultilevel"/>
    <w:tmpl w:val="14E0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A63B3"/>
    <w:multiLevelType w:val="hybridMultilevel"/>
    <w:tmpl w:val="4432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22DF2"/>
    <w:multiLevelType w:val="hybridMultilevel"/>
    <w:tmpl w:val="AA502C24"/>
    <w:lvl w:ilvl="0" w:tplc="C8A4D3CE">
      <w:start w:val="39"/>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2"/>
  </w:num>
  <w:num w:numId="5">
    <w:abstractNumId w:val="0"/>
  </w:num>
  <w:num w:numId="6">
    <w:abstractNumId w:val="16"/>
  </w:num>
  <w:num w:numId="7">
    <w:abstractNumId w:val="14"/>
  </w:num>
  <w:num w:numId="8">
    <w:abstractNumId w:val="4"/>
  </w:num>
  <w:num w:numId="9">
    <w:abstractNumId w:val="3"/>
  </w:num>
  <w:num w:numId="10">
    <w:abstractNumId w:val="12"/>
  </w:num>
  <w:num w:numId="11">
    <w:abstractNumId w:val="9"/>
  </w:num>
  <w:num w:numId="12">
    <w:abstractNumId w:val="1"/>
  </w:num>
  <w:num w:numId="13">
    <w:abstractNumId w:val="8"/>
  </w:num>
  <w:num w:numId="14">
    <w:abstractNumId w:val="11"/>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45"/>
    <w:rsid w:val="000008DF"/>
    <w:rsid w:val="00003AAC"/>
    <w:rsid w:val="00035FFE"/>
    <w:rsid w:val="00067A50"/>
    <w:rsid w:val="0008257F"/>
    <w:rsid w:val="000A72C7"/>
    <w:rsid w:val="000E0469"/>
    <w:rsid w:val="000E17C3"/>
    <w:rsid w:val="000F4FB4"/>
    <w:rsid w:val="001077AB"/>
    <w:rsid w:val="00221845"/>
    <w:rsid w:val="00274222"/>
    <w:rsid w:val="002A5E2C"/>
    <w:rsid w:val="002B3AFA"/>
    <w:rsid w:val="002F6D6F"/>
    <w:rsid w:val="00300D20"/>
    <w:rsid w:val="00372688"/>
    <w:rsid w:val="003B1971"/>
    <w:rsid w:val="003C2FA6"/>
    <w:rsid w:val="00410DE4"/>
    <w:rsid w:val="00484886"/>
    <w:rsid w:val="00494E7B"/>
    <w:rsid w:val="005A0F40"/>
    <w:rsid w:val="005C2382"/>
    <w:rsid w:val="005E4FEA"/>
    <w:rsid w:val="00605127"/>
    <w:rsid w:val="00627CE0"/>
    <w:rsid w:val="006476E9"/>
    <w:rsid w:val="00647F1F"/>
    <w:rsid w:val="006977C3"/>
    <w:rsid w:val="006E4470"/>
    <w:rsid w:val="00704FE8"/>
    <w:rsid w:val="0073053D"/>
    <w:rsid w:val="00764F91"/>
    <w:rsid w:val="007764E2"/>
    <w:rsid w:val="00776A93"/>
    <w:rsid w:val="007C062B"/>
    <w:rsid w:val="007E1B54"/>
    <w:rsid w:val="0080123C"/>
    <w:rsid w:val="008140BD"/>
    <w:rsid w:val="00830644"/>
    <w:rsid w:val="008743B7"/>
    <w:rsid w:val="008953F9"/>
    <w:rsid w:val="008A1CD5"/>
    <w:rsid w:val="008D556F"/>
    <w:rsid w:val="009145F8"/>
    <w:rsid w:val="009157E0"/>
    <w:rsid w:val="00962444"/>
    <w:rsid w:val="0098349E"/>
    <w:rsid w:val="009E4E57"/>
    <w:rsid w:val="00A05C77"/>
    <w:rsid w:val="00A35A66"/>
    <w:rsid w:val="00A613B4"/>
    <w:rsid w:val="00A803E3"/>
    <w:rsid w:val="00AB12FF"/>
    <w:rsid w:val="00AF65F6"/>
    <w:rsid w:val="00B950C9"/>
    <w:rsid w:val="00B95D65"/>
    <w:rsid w:val="00BA2B5E"/>
    <w:rsid w:val="00BD61F8"/>
    <w:rsid w:val="00BE1351"/>
    <w:rsid w:val="00C04F0C"/>
    <w:rsid w:val="00C31154"/>
    <w:rsid w:val="00C36FDC"/>
    <w:rsid w:val="00C7077C"/>
    <w:rsid w:val="00CC73C3"/>
    <w:rsid w:val="00CF40CB"/>
    <w:rsid w:val="00D107F2"/>
    <w:rsid w:val="00D627C9"/>
    <w:rsid w:val="00D83BB3"/>
    <w:rsid w:val="00DB3EDE"/>
    <w:rsid w:val="00E17CC5"/>
    <w:rsid w:val="00E26E76"/>
    <w:rsid w:val="00E326D0"/>
    <w:rsid w:val="00E34E9E"/>
    <w:rsid w:val="00F2044E"/>
    <w:rsid w:val="00F40019"/>
    <w:rsid w:val="00F435AF"/>
    <w:rsid w:val="00F536A4"/>
    <w:rsid w:val="00F8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0C"/>
    <w:rPr>
      <w:rFonts w:ascii="Segoe UI" w:hAnsi="Segoe UI" w:cs="Segoe UI"/>
      <w:sz w:val="18"/>
      <w:szCs w:val="18"/>
    </w:rPr>
  </w:style>
  <w:style w:type="paragraph" w:styleId="ListParagraph">
    <w:name w:val="List Paragraph"/>
    <w:basedOn w:val="Normal"/>
    <w:uiPriority w:val="34"/>
    <w:qFormat/>
    <w:rsid w:val="00F86CDD"/>
    <w:pPr>
      <w:ind w:left="720"/>
      <w:contextualSpacing/>
    </w:pPr>
  </w:style>
  <w:style w:type="character" w:styleId="Hyperlink">
    <w:name w:val="Hyperlink"/>
    <w:basedOn w:val="DefaultParagraphFont"/>
    <w:uiPriority w:val="99"/>
    <w:unhideWhenUsed/>
    <w:rsid w:val="00A35A66"/>
    <w:rPr>
      <w:color w:val="0563C1" w:themeColor="hyperlink"/>
      <w:u w:val="single"/>
    </w:rPr>
  </w:style>
  <w:style w:type="paragraph" w:styleId="Header">
    <w:name w:val="header"/>
    <w:basedOn w:val="Normal"/>
    <w:link w:val="HeaderChar"/>
    <w:uiPriority w:val="99"/>
    <w:unhideWhenUsed/>
    <w:rsid w:val="007E1B54"/>
    <w:pPr>
      <w:tabs>
        <w:tab w:val="center" w:pos="4680"/>
        <w:tab w:val="right" w:pos="9360"/>
      </w:tabs>
    </w:pPr>
  </w:style>
  <w:style w:type="character" w:customStyle="1" w:styleId="HeaderChar">
    <w:name w:val="Header Char"/>
    <w:basedOn w:val="DefaultParagraphFont"/>
    <w:link w:val="Header"/>
    <w:uiPriority w:val="99"/>
    <w:rsid w:val="007E1B54"/>
  </w:style>
  <w:style w:type="paragraph" w:styleId="Footer">
    <w:name w:val="footer"/>
    <w:basedOn w:val="Normal"/>
    <w:link w:val="FooterChar"/>
    <w:uiPriority w:val="99"/>
    <w:unhideWhenUsed/>
    <w:rsid w:val="007E1B54"/>
    <w:pPr>
      <w:tabs>
        <w:tab w:val="center" w:pos="4680"/>
        <w:tab w:val="right" w:pos="9360"/>
      </w:tabs>
    </w:pPr>
  </w:style>
  <w:style w:type="character" w:customStyle="1" w:styleId="FooterChar">
    <w:name w:val="Footer Char"/>
    <w:basedOn w:val="DefaultParagraphFont"/>
    <w:link w:val="Footer"/>
    <w:uiPriority w:val="99"/>
    <w:rsid w:val="007E1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0C"/>
    <w:rPr>
      <w:rFonts w:ascii="Segoe UI" w:hAnsi="Segoe UI" w:cs="Segoe UI"/>
      <w:sz w:val="18"/>
      <w:szCs w:val="18"/>
    </w:rPr>
  </w:style>
  <w:style w:type="paragraph" w:styleId="ListParagraph">
    <w:name w:val="List Paragraph"/>
    <w:basedOn w:val="Normal"/>
    <w:uiPriority w:val="34"/>
    <w:qFormat/>
    <w:rsid w:val="00F86CDD"/>
    <w:pPr>
      <w:ind w:left="720"/>
      <w:contextualSpacing/>
    </w:pPr>
  </w:style>
  <w:style w:type="character" w:styleId="Hyperlink">
    <w:name w:val="Hyperlink"/>
    <w:basedOn w:val="DefaultParagraphFont"/>
    <w:uiPriority w:val="99"/>
    <w:unhideWhenUsed/>
    <w:rsid w:val="00A35A66"/>
    <w:rPr>
      <w:color w:val="0563C1" w:themeColor="hyperlink"/>
      <w:u w:val="single"/>
    </w:rPr>
  </w:style>
  <w:style w:type="paragraph" w:styleId="Header">
    <w:name w:val="header"/>
    <w:basedOn w:val="Normal"/>
    <w:link w:val="HeaderChar"/>
    <w:uiPriority w:val="99"/>
    <w:unhideWhenUsed/>
    <w:rsid w:val="007E1B54"/>
    <w:pPr>
      <w:tabs>
        <w:tab w:val="center" w:pos="4680"/>
        <w:tab w:val="right" w:pos="9360"/>
      </w:tabs>
    </w:pPr>
  </w:style>
  <w:style w:type="character" w:customStyle="1" w:styleId="HeaderChar">
    <w:name w:val="Header Char"/>
    <w:basedOn w:val="DefaultParagraphFont"/>
    <w:link w:val="Header"/>
    <w:uiPriority w:val="99"/>
    <w:rsid w:val="007E1B54"/>
  </w:style>
  <w:style w:type="paragraph" w:styleId="Footer">
    <w:name w:val="footer"/>
    <w:basedOn w:val="Normal"/>
    <w:link w:val="FooterChar"/>
    <w:uiPriority w:val="99"/>
    <w:unhideWhenUsed/>
    <w:rsid w:val="007E1B54"/>
    <w:pPr>
      <w:tabs>
        <w:tab w:val="center" w:pos="4680"/>
        <w:tab w:val="right" w:pos="9360"/>
      </w:tabs>
    </w:pPr>
  </w:style>
  <w:style w:type="character" w:customStyle="1" w:styleId="FooterChar">
    <w:name w:val="Footer Char"/>
    <w:basedOn w:val="DefaultParagraphFont"/>
    <w:link w:val="Footer"/>
    <w:uiPriority w:val="99"/>
    <w:rsid w:val="007E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4A88-44D6-684E-8898-2473434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Virkler</dc:creator>
  <cp:keywords/>
  <dc:description/>
  <cp:lastModifiedBy>Kerry Frerk</cp:lastModifiedBy>
  <cp:revision>2</cp:revision>
  <cp:lastPrinted>2018-01-24T14:50:00Z</cp:lastPrinted>
  <dcterms:created xsi:type="dcterms:W3CDTF">2018-03-16T18:00:00Z</dcterms:created>
  <dcterms:modified xsi:type="dcterms:W3CDTF">2018-03-16T18:00:00Z</dcterms:modified>
</cp:coreProperties>
</file>